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2776" w:rsidRPr="00B50274" w:rsidRDefault="00792776" w:rsidP="00792776">
      <w:pPr>
        <w:spacing w:before="240" w:after="240" w:line="360" w:lineRule="auto"/>
        <w:rPr>
          <w:rStyle w:val="nfasissutil"/>
        </w:rPr>
      </w:pPr>
      <w:r w:rsidRPr="00B50274">
        <w:rPr>
          <w:rFonts w:ascii="Palatino Linotype" w:eastAsia="MS Mincho" w:hAnsi="Palatino Linotype" w:cs="Times New Roman"/>
          <w:b/>
          <w:sz w:val="24"/>
          <w:szCs w:val="24"/>
          <w:lang w:val="es-ES_tradnl" w:eastAsia="es-ES"/>
        </w:rPr>
        <w:t>LÍNEAS ARGUMENTATIVAS.</w:t>
      </w:r>
    </w:p>
    <w:p w:rsidR="00202E6A" w:rsidRPr="00B50274" w:rsidRDefault="00202E6A" w:rsidP="00202E6A">
      <w:pPr>
        <w:spacing w:after="0" w:line="360" w:lineRule="auto"/>
        <w:jc w:val="both"/>
        <w:rPr>
          <w:rFonts w:ascii="Palatino Linotype" w:eastAsia="Arial Unicode MS" w:hAnsi="Palatino Linotype" w:cs="Arial"/>
          <w:sz w:val="24"/>
          <w:szCs w:val="24"/>
          <w:lang w:val="es-ES_tradnl" w:eastAsia="es-ES"/>
        </w:rPr>
      </w:pPr>
      <w:r w:rsidRPr="00B50274">
        <w:rPr>
          <w:rFonts w:ascii="Palatino Linotype" w:eastAsia="Arial Unicode MS" w:hAnsi="Palatino Linotype" w:cs="Arial"/>
          <w:b/>
          <w:sz w:val="24"/>
          <w:szCs w:val="24"/>
          <w:lang w:val="es-ES_tradnl" w:eastAsia="es-ES"/>
        </w:rPr>
        <w:t>DEBERES DE LAS AUTORIDADES</w:t>
      </w:r>
      <w:r w:rsidRPr="00B50274">
        <w:rPr>
          <w:rFonts w:ascii="Palatino Linotype" w:eastAsia="Arial Unicode MS" w:hAnsi="Palatino Linotype" w:cs="Arial"/>
          <w:sz w:val="24"/>
          <w:szCs w:val="24"/>
          <w:lang w:val="es-ES_tradnl" w:eastAsia="es-ES"/>
        </w:rPr>
        <w:t>. El derecho de acceso a la información pública es un derecho humano constitucionalmente reconocido en consecuencia todas las autoridades en el ámbito de sus competencias tienen la obligación de respetarlo, protegerlo y garantizarlo.</w:t>
      </w:r>
    </w:p>
    <w:p w:rsidR="005A2008" w:rsidRPr="00B50274" w:rsidRDefault="005A2008" w:rsidP="00202E6A">
      <w:pPr>
        <w:spacing w:after="0" w:line="360" w:lineRule="auto"/>
        <w:jc w:val="both"/>
        <w:rPr>
          <w:rFonts w:ascii="Palatino Linotype" w:eastAsia="Arial Unicode MS" w:hAnsi="Palatino Linotype" w:cs="Arial"/>
          <w:sz w:val="24"/>
          <w:szCs w:val="24"/>
          <w:lang w:val="es-ES_tradnl" w:eastAsia="es-ES"/>
        </w:rPr>
      </w:pPr>
    </w:p>
    <w:p w:rsidR="00202E6A" w:rsidRPr="00B50274" w:rsidRDefault="00202E6A" w:rsidP="00202E6A">
      <w:pPr>
        <w:spacing w:after="0" w:line="360" w:lineRule="auto"/>
        <w:jc w:val="both"/>
        <w:rPr>
          <w:rFonts w:ascii="Palatino Linotype" w:eastAsia="Calibri" w:hAnsi="Palatino Linotype" w:cs="Times New Roman"/>
          <w:sz w:val="24"/>
          <w:szCs w:val="24"/>
          <w:lang w:val="es-ES_tradnl" w:eastAsia="es-ES"/>
        </w:rPr>
      </w:pPr>
      <w:r w:rsidRPr="00B50274">
        <w:rPr>
          <w:rFonts w:ascii="Palatino Linotype" w:eastAsia="Calibri" w:hAnsi="Palatino Linotype" w:cs="Times New Roman"/>
          <w:b/>
          <w:sz w:val="24"/>
          <w:szCs w:val="24"/>
          <w:lang w:val="es-ES_tradnl" w:eastAsia="es-ES"/>
        </w:rPr>
        <w:t>DE LA GARANTÍA DE PROPORCIONAR LA INFORMACIÓN PÚBLICA GUBERNAMENTAL.</w:t>
      </w:r>
      <w:r w:rsidRPr="00B50274">
        <w:rPr>
          <w:rFonts w:ascii="Palatino Linotype" w:eastAsia="Calibri" w:hAnsi="Palatino Linotype" w:cs="Times New Roman"/>
          <w:sz w:val="24"/>
          <w:szCs w:val="24"/>
          <w:lang w:val="es-ES_tradnl" w:eastAsia="es-ES"/>
        </w:rPr>
        <w:t xml:space="preserve"> Los sujetos obligados tienen el deber de entregar la información solicitada en los términos en los que esta fue generada, poseída o administrada.</w:t>
      </w:r>
    </w:p>
    <w:p w:rsidR="00506DDB" w:rsidRPr="00B50274" w:rsidRDefault="00506DDB" w:rsidP="00202E6A">
      <w:pPr>
        <w:spacing w:after="0" w:line="360" w:lineRule="auto"/>
        <w:jc w:val="both"/>
        <w:rPr>
          <w:rFonts w:ascii="Palatino Linotype" w:eastAsia="Calibri" w:hAnsi="Palatino Linotype" w:cs="Times New Roman"/>
          <w:sz w:val="24"/>
          <w:szCs w:val="24"/>
          <w:lang w:val="es-ES_tradnl" w:eastAsia="es-ES"/>
        </w:rPr>
      </w:pPr>
    </w:p>
    <w:p w:rsidR="00506DDB" w:rsidRPr="00B50274" w:rsidRDefault="00506DDB" w:rsidP="00506DDB">
      <w:pPr>
        <w:spacing w:after="0" w:line="360" w:lineRule="auto"/>
        <w:jc w:val="both"/>
        <w:rPr>
          <w:rFonts w:ascii="Palatino Linotype" w:eastAsia="Calibri" w:hAnsi="Palatino Linotype" w:cs="Arial"/>
          <w:sz w:val="24"/>
          <w:szCs w:val="24"/>
        </w:rPr>
      </w:pPr>
      <w:r w:rsidRPr="00B50274">
        <w:rPr>
          <w:rFonts w:ascii="Palatino Linotype" w:eastAsia="Calibri" w:hAnsi="Palatino Linotype" w:cs="Arial"/>
          <w:b/>
          <w:sz w:val="24"/>
          <w:szCs w:val="24"/>
        </w:rPr>
        <w:t>GRATUIDAD PARA ACCEDER A INFORMACIÓN EN POSESIÓN DE LOS SUJETOS OBLIGADOS</w:t>
      </w:r>
      <w:r w:rsidRPr="00B50274">
        <w:rPr>
          <w:rFonts w:ascii="Palatino Linotype" w:eastAsia="Calibri" w:hAnsi="Palatino Linotype" w:cs="Arial"/>
          <w:sz w:val="24"/>
          <w:szCs w:val="24"/>
        </w:rPr>
        <w:t xml:space="preserve">. Para satisfacer plenamente el derecho de acceso a la información pública, el Instituto de Transparencia, Acceso a la Información Pública y Protección de Datos Personales del Estado de México y Municipios debe velar por que los Sujetos Obligados respeten y se rijan por los principios de simplicidad, rapidez, </w:t>
      </w:r>
      <w:r w:rsidRPr="00B50274">
        <w:rPr>
          <w:rFonts w:ascii="Palatino Linotype" w:eastAsia="Calibri" w:hAnsi="Palatino Linotype" w:cs="Arial"/>
          <w:b/>
          <w:i/>
          <w:sz w:val="24"/>
          <w:szCs w:val="24"/>
        </w:rPr>
        <w:t>gratuidad</w:t>
      </w:r>
      <w:r w:rsidRPr="00B50274">
        <w:rPr>
          <w:rFonts w:ascii="Palatino Linotype" w:eastAsia="Calibri" w:hAnsi="Palatino Linotype" w:cs="Arial"/>
          <w:sz w:val="24"/>
          <w:szCs w:val="24"/>
        </w:rPr>
        <w:t>, así como auxilio y orientación a los particulares con el propósito de otorgar la protección más amplia del derecho humano de las personas.</w:t>
      </w:r>
    </w:p>
    <w:p w:rsidR="00202E6A" w:rsidRPr="00B50274" w:rsidRDefault="00202E6A" w:rsidP="00202E6A">
      <w:pPr>
        <w:spacing w:after="0" w:line="360" w:lineRule="auto"/>
        <w:jc w:val="both"/>
        <w:rPr>
          <w:rFonts w:ascii="Palatino Linotype" w:eastAsia="Calibri" w:hAnsi="Palatino Linotype" w:cs="Times New Roman"/>
          <w:sz w:val="24"/>
          <w:szCs w:val="24"/>
          <w:lang w:val="es-ES_tradnl" w:eastAsia="es-ES"/>
        </w:rPr>
      </w:pPr>
    </w:p>
    <w:p w:rsidR="00792776" w:rsidRPr="00B50274" w:rsidRDefault="00792776" w:rsidP="00792776">
      <w:pPr>
        <w:tabs>
          <w:tab w:val="left" w:pos="4253"/>
        </w:tabs>
        <w:spacing w:before="240" w:after="240" w:line="360" w:lineRule="auto"/>
        <w:jc w:val="both"/>
        <w:rPr>
          <w:rFonts w:ascii="Palatino Linotype" w:eastAsia="Times New Roman" w:hAnsi="Palatino Linotype" w:cs="Arial"/>
          <w:sz w:val="24"/>
          <w:szCs w:val="24"/>
          <w:lang w:val="es-ES_tradnl" w:eastAsia="es-MX"/>
        </w:rPr>
      </w:pPr>
    </w:p>
    <w:p w:rsidR="00336C1B" w:rsidRPr="00B50274" w:rsidRDefault="00336C1B" w:rsidP="00792776">
      <w:pPr>
        <w:tabs>
          <w:tab w:val="left" w:pos="4253"/>
        </w:tabs>
        <w:spacing w:before="240" w:after="240" w:line="360" w:lineRule="auto"/>
        <w:jc w:val="both"/>
        <w:rPr>
          <w:rFonts w:ascii="Palatino Linotype" w:eastAsia="Times New Roman" w:hAnsi="Palatino Linotype" w:cs="Arial"/>
          <w:sz w:val="24"/>
          <w:szCs w:val="24"/>
          <w:lang w:val="es-ES_tradnl" w:eastAsia="es-MX"/>
        </w:rPr>
      </w:pPr>
    </w:p>
    <w:p w:rsidR="00202E6A" w:rsidRPr="00B50274" w:rsidRDefault="00202E6A" w:rsidP="00792776">
      <w:pPr>
        <w:tabs>
          <w:tab w:val="left" w:pos="4253"/>
        </w:tabs>
        <w:spacing w:before="240" w:after="240" w:line="360" w:lineRule="auto"/>
        <w:jc w:val="both"/>
        <w:rPr>
          <w:rFonts w:ascii="Palatino Linotype" w:eastAsia="Times New Roman" w:hAnsi="Palatino Linotype" w:cs="Arial"/>
          <w:sz w:val="24"/>
          <w:szCs w:val="24"/>
          <w:lang w:val="es-ES_tradnl" w:eastAsia="es-MX"/>
        </w:rPr>
      </w:pPr>
    </w:p>
    <w:p w:rsidR="00792776" w:rsidRPr="00B50274" w:rsidRDefault="00792776" w:rsidP="00792776">
      <w:pPr>
        <w:spacing w:before="240" w:after="240" w:line="360" w:lineRule="auto"/>
        <w:jc w:val="center"/>
        <w:rPr>
          <w:rFonts w:ascii="Palatino Linotype" w:eastAsia="MS Mincho" w:hAnsi="Palatino Linotype" w:cs="Times New Roman"/>
          <w:sz w:val="24"/>
          <w:szCs w:val="24"/>
          <w:lang w:val="es-ES_tradnl" w:eastAsia="es-ES"/>
        </w:rPr>
      </w:pPr>
      <w:r w:rsidRPr="00B50274">
        <w:rPr>
          <w:rFonts w:ascii="Palatino Linotype" w:eastAsia="MS Mincho" w:hAnsi="Palatino Linotype" w:cs="Times New Roman"/>
          <w:b/>
          <w:sz w:val="24"/>
          <w:szCs w:val="24"/>
          <w:lang w:val="es-ES_tradnl" w:eastAsia="es-ES"/>
        </w:rPr>
        <w:lastRenderedPageBreak/>
        <w:t>Índice</w:t>
      </w:r>
      <w:r w:rsidRPr="00B50274">
        <w:rPr>
          <w:rFonts w:ascii="Palatino Linotype" w:eastAsia="MS Mincho" w:hAnsi="Palatino Linotype" w:cs="Times New Roman"/>
          <w:sz w:val="24"/>
          <w:szCs w:val="24"/>
          <w:lang w:val="es-ES_tradnl" w:eastAsia="es-ES"/>
        </w:rPr>
        <w:t>.</w:t>
      </w:r>
    </w:p>
    <w:sdt>
      <w:sdtPr>
        <w:rPr>
          <w:lang w:val="es-ES"/>
        </w:rPr>
        <w:id w:val="-1091387415"/>
        <w:docPartObj>
          <w:docPartGallery w:val="Table of Contents"/>
          <w:docPartUnique/>
        </w:docPartObj>
      </w:sdtPr>
      <w:sdtEndPr>
        <w:rPr>
          <w:b/>
          <w:bCs/>
        </w:rPr>
      </w:sdtEndPr>
      <w:sdtContent>
        <w:p w:rsidR="00792776" w:rsidRPr="00B50274" w:rsidRDefault="00792776" w:rsidP="00E93981">
          <w:pPr>
            <w:keepNext/>
            <w:keepLines/>
            <w:spacing w:before="240" w:line="360" w:lineRule="auto"/>
            <w:rPr>
              <w:rFonts w:asciiTheme="majorHAnsi" w:eastAsiaTheme="majorEastAsia" w:hAnsiTheme="majorHAnsi" w:cstheme="majorBidi"/>
              <w:sz w:val="32"/>
              <w:szCs w:val="32"/>
              <w:lang w:eastAsia="es-MX"/>
            </w:rPr>
          </w:pPr>
        </w:p>
        <w:p w:rsidR="00914E9A" w:rsidRPr="00B50274" w:rsidRDefault="00792776" w:rsidP="00914E9A">
          <w:pPr>
            <w:pStyle w:val="TDC1"/>
            <w:spacing w:line="480" w:lineRule="auto"/>
            <w:rPr>
              <w:rFonts w:eastAsiaTheme="minorEastAsia"/>
              <w:noProof/>
              <w:lang w:eastAsia="es-MX"/>
            </w:rPr>
          </w:pPr>
          <w:r w:rsidRPr="00B50274">
            <w:fldChar w:fldCharType="begin"/>
          </w:r>
          <w:r w:rsidRPr="00B50274">
            <w:instrText xml:space="preserve"> TOC \o "1-3" \h \z \u </w:instrText>
          </w:r>
          <w:r w:rsidRPr="00B50274">
            <w:fldChar w:fldCharType="separate"/>
          </w:r>
          <w:hyperlink w:anchor="_Toc521603644" w:history="1">
            <w:r w:rsidR="00914E9A" w:rsidRPr="00B50274">
              <w:rPr>
                <w:rStyle w:val="Hipervnculo"/>
                <w:rFonts w:ascii="Palatino Linotype" w:eastAsia="MS Gothic" w:hAnsi="Palatino Linotype" w:cs="Times New Roman"/>
                <w:b/>
                <w:noProof/>
              </w:rPr>
              <w:t>A N T E C E D E N T E S</w:t>
            </w:r>
            <w:r w:rsidR="00914E9A" w:rsidRPr="00B50274">
              <w:rPr>
                <w:noProof/>
                <w:webHidden/>
              </w:rPr>
              <w:tab/>
            </w:r>
            <w:r w:rsidR="00914E9A" w:rsidRPr="00B50274">
              <w:rPr>
                <w:noProof/>
                <w:webHidden/>
              </w:rPr>
              <w:fldChar w:fldCharType="begin"/>
            </w:r>
            <w:r w:rsidR="00914E9A" w:rsidRPr="00B50274">
              <w:rPr>
                <w:noProof/>
                <w:webHidden/>
              </w:rPr>
              <w:instrText xml:space="preserve"> PAGEREF _Toc521603644 \h </w:instrText>
            </w:r>
            <w:r w:rsidR="00914E9A" w:rsidRPr="00B50274">
              <w:rPr>
                <w:noProof/>
                <w:webHidden/>
              </w:rPr>
            </w:r>
            <w:r w:rsidR="00914E9A" w:rsidRPr="00B50274">
              <w:rPr>
                <w:noProof/>
                <w:webHidden/>
              </w:rPr>
              <w:fldChar w:fldCharType="separate"/>
            </w:r>
            <w:r w:rsidR="00B50274">
              <w:rPr>
                <w:noProof/>
                <w:webHidden/>
              </w:rPr>
              <w:t>3</w:t>
            </w:r>
            <w:r w:rsidR="00914E9A" w:rsidRPr="00B50274">
              <w:rPr>
                <w:noProof/>
                <w:webHidden/>
              </w:rPr>
              <w:fldChar w:fldCharType="end"/>
            </w:r>
          </w:hyperlink>
        </w:p>
        <w:p w:rsidR="00914E9A" w:rsidRPr="00B50274" w:rsidRDefault="001B04F5" w:rsidP="00914E9A">
          <w:pPr>
            <w:pStyle w:val="TDC1"/>
            <w:spacing w:line="480" w:lineRule="auto"/>
            <w:rPr>
              <w:rFonts w:eastAsiaTheme="minorEastAsia"/>
              <w:noProof/>
              <w:lang w:eastAsia="es-MX"/>
            </w:rPr>
          </w:pPr>
          <w:hyperlink w:anchor="_Toc521603645" w:history="1">
            <w:r w:rsidR="00914E9A" w:rsidRPr="00B50274">
              <w:rPr>
                <w:rStyle w:val="Hipervnculo"/>
                <w:rFonts w:ascii="Palatino Linotype" w:eastAsia="MS Gothic" w:hAnsi="Palatino Linotype" w:cs="Times New Roman"/>
                <w:b/>
                <w:noProof/>
              </w:rPr>
              <w:t>CONSIDERANDO</w:t>
            </w:r>
            <w:r w:rsidR="00914E9A" w:rsidRPr="00B50274">
              <w:rPr>
                <w:noProof/>
                <w:webHidden/>
              </w:rPr>
              <w:tab/>
            </w:r>
            <w:r w:rsidR="00914E9A" w:rsidRPr="00B50274">
              <w:rPr>
                <w:noProof/>
                <w:webHidden/>
              </w:rPr>
              <w:fldChar w:fldCharType="begin"/>
            </w:r>
            <w:r w:rsidR="00914E9A" w:rsidRPr="00B50274">
              <w:rPr>
                <w:noProof/>
                <w:webHidden/>
              </w:rPr>
              <w:instrText xml:space="preserve"> PAGEREF _Toc521603645 \h </w:instrText>
            </w:r>
            <w:r w:rsidR="00914E9A" w:rsidRPr="00B50274">
              <w:rPr>
                <w:noProof/>
                <w:webHidden/>
              </w:rPr>
            </w:r>
            <w:r w:rsidR="00914E9A" w:rsidRPr="00B50274">
              <w:rPr>
                <w:noProof/>
                <w:webHidden/>
              </w:rPr>
              <w:fldChar w:fldCharType="separate"/>
            </w:r>
            <w:r w:rsidR="00B50274">
              <w:rPr>
                <w:noProof/>
                <w:webHidden/>
              </w:rPr>
              <w:t>7</w:t>
            </w:r>
            <w:r w:rsidR="00914E9A" w:rsidRPr="00B50274">
              <w:rPr>
                <w:noProof/>
                <w:webHidden/>
              </w:rPr>
              <w:fldChar w:fldCharType="end"/>
            </w:r>
          </w:hyperlink>
        </w:p>
        <w:p w:rsidR="00914E9A" w:rsidRPr="00B50274" w:rsidRDefault="001B04F5" w:rsidP="00914E9A">
          <w:pPr>
            <w:pStyle w:val="TDC1"/>
            <w:spacing w:line="480" w:lineRule="auto"/>
            <w:rPr>
              <w:rFonts w:eastAsiaTheme="minorEastAsia"/>
              <w:noProof/>
              <w:lang w:eastAsia="es-MX"/>
            </w:rPr>
          </w:pPr>
          <w:hyperlink w:anchor="_Toc521603646" w:history="1">
            <w:r w:rsidR="00914E9A" w:rsidRPr="00B50274">
              <w:rPr>
                <w:rStyle w:val="Hipervnculo"/>
                <w:rFonts w:ascii="Palatino Linotype" w:eastAsia="MS Mincho" w:hAnsi="Palatino Linotype" w:cstheme="majorBidi"/>
                <w:b/>
                <w:noProof/>
                <w:lang w:val="es-ES_tradnl" w:eastAsia="es-ES"/>
              </w:rPr>
              <w:t>PRIMERO</w:t>
            </w:r>
            <w:r w:rsidR="00914E9A" w:rsidRPr="00B50274">
              <w:rPr>
                <w:rStyle w:val="Hipervnculo"/>
                <w:rFonts w:ascii="Palatino Linotype" w:eastAsia="MS Gothic" w:hAnsi="Palatino Linotype" w:cs="Times New Roman"/>
                <w:b/>
                <w:noProof/>
              </w:rPr>
              <w:t>. De la competencia.</w:t>
            </w:r>
            <w:r w:rsidR="00914E9A" w:rsidRPr="00B50274">
              <w:rPr>
                <w:noProof/>
                <w:webHidden/>
              </w:rPr>
              <w:tab/>
            </w:r>
            <w:r w:rsidR="00914E9A" w:rsidRPr="00B50274">
              <w:rPr>
                <w:noProof/>
                <w:webHidden/>
              </w:rPr>
              <w:fldChar w:fldCharType="begin"/>
            </w:r>
            <w:r w:rsidR="00914E9A" w:rsidRPr="00B50274">
              <w:rPr>
                <w:noProof/>
                <w:webHidden/>
              </w:rPr>
              <w:instrText xml:space="preserve"> PAGEREF _Toc521603646 \h </w:instrText>
            </w:r>
            <w:r w:rsidR="00914E9A" w:rsidRPr="00B50274">
              <w:rPr>
                <w:noProof/>
                <w:webHidden/>
              </w:rPr>
            </w:r>
            <w:r w:rsidR="00914E9A" w:rsidRPr="00B50274">
              <w:rPr>
                <w:noProof/>
                <w:webHidden/>
              </w:rPr>
              <w:fldChar w:fldCharType="separate"/>
            </w:r>
            <w:r w:rsidR="00B50274">
              <w:rPr>
                <w:noProof/>
                <w:webHidden/>
              </w:rPr>
              <w:t>7</w:t>
            </w:r>
            <w:r w:rsidR="00914E9A" w:rsidRPr="00B50274">
              <w:rPr>
                <w:noProof/>
                <w:webHidden/>
              </w:rPr>
              <w:fldChar w:fldCharType="end"/>
            </w:r>
          </w:hyperlink>
        </w:p>
        <w:p w:rsidR="00914E9A" w:rsidRPr="00B50274" w:rsidRDefault="001B04F5" w:rsidP="00914E9A">
          <w:pPr>
            <w:pStyle w:val="TDC1"/>
            <w:spacing w:line="480" w:lineRule="auto"/>
            <w:rPr>
              <w:rFonts w:eastAsiaTheme="minorEastAsia"/>
              <w:noProof/>
              <w:lang w:eastAsia="es-MX"/>
            </w:rPr>
          </w:pPr>
          <w:hyperlink w:anchor="_Toc521603647" w:history="1">
            <w:r w:rsidR="00914E9A" w:rsidRPr="00B50274">
              <w:rPr>
                <w:rStyle w:val="Hipervnculo"/>
                <w:rFonts w:ascii="Palatino Linotype" w:eastAsia="MS Mincho" w:hAnsi="Palatino Linotype" w:cstheme="majorBidi"/>
                <w:b/>
                <w:noProof/>
                <w:lang w:val="es-ES_tradnl" w:eastAsia="es-ES"/>
              </w:rPr>
              <w:t>SEGUNDO</w:t>
            </w:r>
            <w:r w:rsidR="00914E9A" w:rsidRPr="00B50274">
              <w:rPr>
                <w:rStyle w:val="Hipervnculo"/>
                <w:rFonts w:ascii="Palatino Linotype" w:hAnsi="Palatino Linotype"/>
                <w:b/>
                <w:noProof/>
              </w:rPr>
              <w:t>. De la oportunidad y procedencia.</w:t>
            </w:r>
            <w:r w:rsidR="00914E9A" w:rsidRPr="00B50274">
              <w:rPr>
                <w:noProof/>
                <w:webHidden/>
              </w:rPr>
              <w:tab/>
            </w:r>
            <w:r w:rsidR="00914E9A" w:rsidRPr="00B50274">
              <w:rPr>
                <w:noProof/>
                <w:webHidden/>
              </w:rPr>
              <w:fldChar w:fldCharType="begin"/>
            </w:r>
            <w:r w:rsidR="00914E9A" w:rsidRPr="00B50274">
              <w:rPr>
                <w:noProof/>
                <w:webHidden/>
              </w:rPr>
              <w:instrText xml:space="preserve"> PAGEREF _Toc521603647 \h </w:instrText>
            </w:r>
            <w:r w:rsidR="00914E9A" w:rsidRPr="00B50274">
              <w:rPr>
                <w:noProof/>
                <w:webHidden/>
              </w:rPr>
            </w:r>
            <w:r w:rsidR="00914E9A" w:rsidRPr="00B50274">
              <w:rPr>
                <w:noProof/>
                <w:webHidden/>
              </w:rPr>
              <w:fldChar w:fldCharType="separate"/>
            </w:r>
            <w:r w:rsidR="00B50274">
              <w:rPr>
                <w:noProof/>
                <w:webHidden/>
              </w:rPr>
              <w:t>8</w:t>
            </w:r>
            <w:r w:rsidR="00914E9A" w:rsidRPr="00B50274">
              <w:rPr>
                <w:noProof/>
                <w:webHidden/>
              </w:rPr>
              <w:fldChar w:fldCharType="end"/>
            </w:r>
          </w:hyperlink>
        </w:p>
        <w:p w:rsidR="00914E9A" w:rsidRPr="00B50274" w:rsidRDefault="001B04F5" w:rsidP="00914E9A">
          <w:pPr>
            <w:pStyle w:val="TDC1"/>
            <w:spacing w:line="480" w:lineRule="auto"/>
            <w:rPr>
              <w:rFonts w:eastAsiaTheme="minorEastAsia"/>
              <w:noProof/>
              <w:lang w:eastAsia="es-MX"/>
            </w:rPr>
          </w:pPr>
          <w:hyperlink w:anchor="_Toc521603648" w:history="1">
            <w:r w:rsidR="00914E9A" w:rsidRPr="00B50274">
              <w:rPr>
                <w:rStyle w:val="Hipervnculo"/>
                <w:rFonts w:ascii="Palatino Linotype" w:eastAsia="MS Mincho" w:hAnsi="Palatino Linotype" w:cstheme="majorBidi"/>
                <w:b/>
                <w:noProof/>
                <w:lang w:val="es-ES_tradnl" w:eastAsia="es-ES"/>
              </w:rPr>
              <w:t>TERCERO</w:t>
            </w:r>
            <w:r w:rsidR="00914E9A" w:rsidRPr="00B50274">
              <w:rPr>
                <w:rStyle w:val="Hipervnculo"/>
                <w:rFonts w:ascii="Palatino Linotype" w:hAnsi="Palatino Linotype"/>
                <w:b/>
                <w:noProof/>
              </w:rPr>
              <w:t>. Planteamiento de la Litis</w:t>
            </w:r>
            <w:r w:rsidR="00914E9A" w:rsidRPr="00B50274">
              <w:rPr>
                <w:noProof/>
                <w:webHidden/>
              </w:rPr>
              <w:tab/>
            </w:r>
            <w:r w:rsidR="00914E9A" w:rsidRPr="00B50274">
              <w:rPr>
                <w:noProof/>
                <w:webHidden/>
              </w:rPr>
              <w:fldChar w:fldCharType="begin"/>
            </w:r>
            <w:r w:rsidR="00914E9A" w:rsidRPr="00B50274">
              <w:rPr>
                <w:noProof/>
                <w:webHidden/>
              </w:rPr>
              <w:instrText xml:space="preserve"> PAGEREF _Toc521603648 \h </w:instrText>
            </w:r>
            <w:r w:rsidR="00914E9A" w:rsidRPr="00B50274">
              <w:rPr>
                <w:noProof/>
                <w:webHidden/>
              </w:rPr>
            </w:r>
            <w:r w:rsidR="00914E9A" w:rsidRPr="00B50274">
              <w:rPr>
                <w:noProof/>
                <w:webHidden/>
              </w:rPr>
              <w:fldChar w:fldCharType="separate"/>
            </w:r>
            <w:r w:rsidR="00B50274">
              <w:rPr>
                <w:noProof/>
                <w:webHidden/>
              </w:rPr>
              <w:t>9</w:t>
            </w:r>
            <w:r w:rsidR="00914E9A" w:rsidRPr="00B50274">
              <w:rPr>
                <w:noProof/>
                <w:webHidden/>
              </w:rPr>
              <w:fldChar w:fldCharType="end"/>
            </w:r>
          </w:hyperlink>
        </w:p>
        <w:p w:rsidR="00914E9A" w:rsidRPr="00B50274" w:rsidRDefault="001B04F5" w:rsidP="00914E9A">
          <w:pPr>
            <w:pStyle w:val="TDC1"/>
            <w:spacing w:line="480" w:lineRule="auto"/>
            <w:rPr>
              <w:rFonts w:eastAsiaTheme="minorEastAsia"/>
              <w:noProof/>
              <w:lang w:eastAsia="es-MX"/>
            </w:rPr>
          </w:pPr>
          <w:hyperlink w:anchor="_Toc521603649" w:history="1">
            <w:r w:rsidR="00914E9A" w:rsidRPr="00B50274">
              <w:rPr>
                <w:rStyle w:val="Hipervnculo"/>
                <w:rFonts w:ascii="Palatino Linotype" w:eastAsia="MS Mincho" w:hAnsi="Palatino Linotype" w:cstheme="majorBidi"/>
                <w:b/>
                <w:noProof/>
                <w:lang w:val="es-ES_tradnl" w:eastAsia="es-ES"/>
              </w:rPr>
              <w:t>CUARTO</w:t>
            </w:r>
            <w:r w:rsidR="00914E9A" w:rsidRPr="00B50274">
              <w:rPr>
                <w:rStyle w:val="Hipervnculo"/>
                <w:rFonts w:ascii="Palatino Linotype" w:hAnsi="Palatino Linotype"/>
                <w:b/>
                <w:noProof/>
              </w:rPr>
              <w:t>. Estudio y resolución del asunto</w:t>
            </w:r>
            <w:r w:rsidR="00914E9A" w:rsidRPr="00B50274">
              <w:rPr>
                <w:rStyle w:val="Hipervnculo"/>
                <w:rFonts w:ascii="Palatino Linotype" w:hAnsi="Palatino Linotype"/>
                <w:noProof/>
              </w:rPr>
              <w:t>.</w:t>
            </w:r>
            <w:r w:rsidR="00914E9A" w:rsidRPr="00B50274">
              <w:rPr>
                <w:noProof/>
                <w:webHidden/>
              </w:rPr>
              <w:tab/>
            </w:r>
            <w:r w:rsidR="00914E9A" w:rsidRPr="00B50274">
              <w:rPr>
                <w:noProof/>
                <w:webHidden/>
              </w:rPr>
              <w:fldChar w:fldCharType="begin"/>
            </w:r>
            <w:r w:rsidR="00914E9A" w:rsidRPr="00B50274">
              <w:rPr>
                <w:noProof/>
                <w:webHidden/>
              </w:rPr>
              <w:instrText xml:space="preserve"> PAGEREF _Toc521603649 \h </w:instrText>
            </w:r>
            <w:r w:rsidR="00914E9A" w:rsidRPr="00B50274">
              <w:rPr>
                <w:noProof/>
                <w:webHidden/>
              </w:rPr>
            </w:r>
            <w:r w:rsidR="00914E9A" w:rsidRPr="00B50274">
              <w:rPr>
                <w:noProof/>
                <w:webHidden/>
              </w:rPr>
              <w:fldChar w:fldCharType="separate"/>
            </w:r>
            <w:r w:rsidR="00B50274">
              <w:rPr>
                <w:noProof/>
                <w:webHidden/>
              </w:rPr>
              <w:t>13</w:t>
            </w:r>
            <w:r w:rsidR="00914E9A" w:rsidRPr="00B50274">
              <w:rPr>
                <w:noProof/>
                <w:webHidden/>
              </w:rPr>
              <w:fldChar w:fldCharType="end"/>
            </w:r>
          </w:hyperlink>
        </w:p>
        <w:p w:rsidR="00914E9A" w:rsidRPr="00B50274" w:rsidRDefault="001B04F5" w:rsidP="00914E9A">
          <w:pPr>
            <w:pStyle w:val="TDC1"/>
            <w:spacing w:line="480" w:lineRule="auto"/>
            <w:rPr>
              <w:rFonts w:eastAsiaTheme="minorEastAsia"/>
              <w:noProof/>
              <w:lang w:eastAsia="es-MX"/>
            </w:rPr>
          </w:pPr>
          <w:hyperlink w:anchor="_Toc521603650" w:history="1">
            <w:r w:rsidR="00914E9A" w:rsidRPr="00B50274">
              <w:rPr>
                <w:rStyle w:val="Hipervnculo"/>
                <w:rFonts w:ascii="Palatino Linotype" w:eastAsia="MS Mincho" w:hAnsi="Palatino Linotype" w:cstheme="majorBidi"/>
                <w:b/>
                <w:noProof/>
                <w:lang w:val="es-ES_tradnl" w:eastAsia="es-ES"/>
              </w:rPr>
              <w:t>QUINTO</w:t>
            </w:r>
            <w:r w:rsidR="00914E9A" w:rsidRPr="00B50274">
              <w:rPr>
                <w:rStyle w:val="Hipervnculo"/>
                <w:rFonts w:ascii="Palatino Linotype" w:hAnsi="Palatino Linotype"/>
                <w:b/>
                <w:noProof/>
              </w:rPr>
              <w:t>. De la versión pública.</w:t>
            </w:r>
            <w:r w:rsidR="00914E9A" w:rsidRPr="00B50274">
              <w:rPr>
                <w:noProof/>
                <w:webHidden/>
              </w:rPr>
              <w:tab/>
            </w:r>
            <w:r w:rsidR="00914E9A" w:rsidRPr="00B50274">
              <w:rPr>
                <w:noProof/>
                <w:webHidden/>
              </w:rPr>
              <w:fldChar w:fldCharType="begin"/>
            </w:r>
            <w:r w:rsidR="00914E9A" w:rsidRPr="00B50274">
              <w:rPr>
                <w:noProof/>
                <w:webHidden/>
              </w:rPr>
              <w:instrText xml:space="preserve"> PAGEREF _Toc521603650 \h </w:instrText>
            </w:r>
            <w:r w:rsidR="00914E9A" w:rsidRPr="00B50274">
              <w:rPr>
                <w:noProof/>
                <w:webHidden/>
              </w:rPr>
            </w:r>
            <w:r w:rsidR="00914E9A" w:rsidRPr="00B50274">
              <w:rPr>
                <w:noProof/>
                <w:webHidden/>
              </w:rPr>
              <w:fldChar w:fldCharType="separate"/>
            </w:r>
            <w:r w:rsidR="00B50274">
              <w:rPr>
                <w:noProof/>
                <w:webHidden/>
              </w:rPr>
              <w:t>26</w:t>
            </w:r>
            <w:r w:rsidR="00914E9A" w:rsidRPr="00B50274">
              <w:rPr>
                <w:noProof/>
                <w:webHidden/>
              </w:rPr>
              <w:fldChar w:fldCharType="end"/>
            </w:r>
          </w:hyperlink>
        </w:p>
        <w:p w:rsidR="00914E9A" w:rsidRPr="00B50274" w:rsidRDefault="001B04F5" w:rsidP="00914E9A">
          <w:pPr>
            <w:pStyle w:val="TDC1"/>
            <w:spacing w:line="480" w:lineRule="auto"/>
            <w:rPr>
              <w:rFonts w:eastAsiaTheme="minorEastAsia"/>
              <w:noProof/>
              <w:lang w:eastAsia="es-MX"/>
            </w:rPr>
          </w:pPr>
          <w:hyperlink w:anchor="_Toc521603651" w:history="1">
            <w:r w:rsidR="00914E9A" w:rsidRPr="00B50274">
              <w:rPr>
                <w:rStyle w:val="Hipervnculo"/>
                <w:rFonts w:eastAsia="MS Gothic"/>
                <w:b/>
                <w:noProof/>
                <w:lang w:val="es-ES_tradnl" w:eastAsia="es-ES"/>
              </w:rPr>
              <w:t>SEXTO. Acuerdo de la Declaratoria de Inexistencia.</w:t>
            </w:r>
            <w:r w:rsidR="00914E9A" w:rsidRPr="00B50274">
              <w:rPr>
                <w:noProof/>
                <w:webHidden/>
              </w:rPr>
              <w:tab/>
            </w:r>
            <w:r w:rsidR="00914E9A" w:rsidRPr="00B50274">
              <w:rPr>
                <w:noProof/>
                <w:webHidden/>
              </w:rPr>
              <w:fldChar w:fldCharType="begin"/>
            </w:r>
            <w:r w:rsidR="00914E9A" w:rsidRPr="00B50274">
              <w:rPr>
                <w:noProof/>
                <w:webHidden/>
              </w:rPr>
              <w:instrText xml:space="preserve"> PAGEREF _Toc521603651 \h </w:instrText>
            </w:r>
            <w:r w:rsidR="00914E9A" w:rsidRPr="00B50274">
              <w:rPr>
                <w:noProof/>
                <w:webHidden/>
              </w:rPr>
            </w:r>
            <w:r w:rsidR="00914E9A" w:rsidRPr="00B50274">
              <w:rPr>
                <w:noProof/>
                <w:webHidden/>
              </w:rPr>
              <w:fldChar w:fldCharType="separate"/>
            </w:r>
            <w:r w:rsidR="00B50274">
              <w:rPr>
                <w:noProof/>
                <w:webHidden/>
              </w:rPr>
              <w:t>36</w:t>
            </w:r>
            <w:r w:rsidR="00914E9A" w:rsidRPr="00B50274">
              <w:rPr>
                <w:noProof/>
                <w:webHidden/>
              </w:rPr>
              <w:fldChar w:fldCharType="end"/>
            </w:r>
          </w:hyperlink>
        </w:p>
        <w:p w:rsidR="00914E9A" w:rsidRPr="00B50274" w:rsidRDefault="001B04F5" w:rsidP="00914E9A">
          <w:pPr>
            <w:pStyle w:val="TDC1"/>
            <w:spacing w:line="480" w:lineRule="auto"/>
            <w:rPr>
              <w:rFonts w:eastAsiaTheme="minorEastAsia"/>
              <w:noProof/>
              <w:lang w:eastAsia="es-MX"/>
            </w:rPr>
          </w:pPr>
          <w:hyperlink w:anchor="_Toc521603652" w:history="1">
            <w:r w:rsidR="00914E9A" w:rsidRPr="00B50274">
              <w:rPr>
                <w:rStyle w:val="Hipervnculo"/>
                <w:b/>
                <w:noProof/>
              </w:rPr>
              <w:t>R E S O L U T I V O S</w:t>
            </w:r>
            <w:r w:rsidR="00914E9A" w:rsidRPr="00B50274">
              <w:rPr>
                <w:noProof/>
                <w:webHidden/>
              </w:rPr>
              <w:tab/>
            </w:r>
            <w:r w:rsidR="00914E9A" w:rsidRPr="00B50274">
              <w:rPr>
                <w:noProof/>
                <w:webHidden/>
              </w:rPr>
              <w:fldChar w:fldCharType="begin"/>
            </w:r>
            <w:r w:rsidR="00914E9A" w:rsidRPr="00B50274">
              <w:rPr>
                <w:noProof/>
                <w:webHidden/>
              </w:rPr>
              <w:instrText xml:space="preserve"> PAGEREF _Toc521603652 \h </w:instrText>
            </w:r>
            <w:r w:rsidR="00914E9A" w:rsidRPr="00B50274">
              <w:rPr>
                <w:noProof/>
                <w:webHidden/>
              </w:rPr>
            </w:r>
            <w:r w:rsidR="00914E9A" w:rsidRPr="00B50274">
              <w:rPr>
                <w:noProof/>
                <w:webHidden/>
              </w:rPr>
              <w:fldChar w:fldCharType="separate"/>
            </w:r>
            <w:r w:rsidR="00B50274">
              <w:rPr>
                <w:noProof/>
                <w:webHidden/>
              </w:rPr>
              <w:t>43</w:t>
            </w:r>
            <w:r w:rsidR="00914E9A" w:rsidRPr="00B50274">
              <w:rPr>
                <w:noProof/>
                <w:webHidden/>
              </w:rPr>
              <w:fldChar w:fldCharType="end"/>
            </w:r>
          </w:hyperlink>
        </w:p>
        <w:p w:rsidR="00792776" w:rsidRPr="00B50274" w:rsidRDefault="00792776" w:rsidP="00914E9A">
          <w:pPr>
            <w:spacing w:line="480" w:lineRule="auto"/>
          </w:pPr>
          <w:r w:rsidRPr="00B50274">
            <w:rPr>
              <w:b/>
              <w:bCs/>
              <w:lang w:val="es-ES"/>
            </w:rPr>
            <w:fldChar w:fldCharType="end"/>
          </w:r>
        </w:p>
      </w:sdtContent>
    </w:sdt>
    <w:p w:rsidR="00792776" w:rsidRPr="00B50274" w:rsidRDefault="00792776" w:rsidP="00792776">
      <w:pPr>
        <w:spacing w:before="240" w:after="240" w:line="360" w:lineRule="auto"/>
        <w:jc w:val="center"/>
        <w:rPr>
          <w:rFonts w:ascii="Palatino Linotype" w:eastAsia="MS Mincho" w:hAnsi="Palatino Linotype" w:cs="Times New Roman"/>
          <w:sz w:val="24"/>
          <w:szCs w:val="24"/>
          <w:lang w:val="es-ES_tradnl" w:eastAsia="es-ES"/>
        </w:rPr>
      </w:pPr>
    </w:p>
    <w:p w:rsidR="00792776" w:rsidRPr="00B50274" w:rsidRDefault="00792776" w:rsidP="00792776">
      <w:pPr>
        <w:spacing w:before="240" w:after="240" w:line="360" w:lineRule="auto"/>
        <w:jc w:val="center"/>
        <w:rPr>
          <w:rFonts w:ascii="Palatino Linotype" w:eastAsia="MS Mincho" w:hAnsi="Palatino Linotype" w:cs="Times New Roman"/>
          <w:sz w:val="24"/>
          <w:szCs w:val="24"/>
          <w:lang w:val="es-ES_tradnl" w:eastAsia="es-ES"/>
        </w:rPr>
      </w:pPr>
    </w:p>
    <w:p w:rsidR="00792776" w:rsidRPr="00B50274" w:rsidRDefault="00792776" w:rsidP="00792776">
      <w:pPr>
        <w:spacing w:before="240" w:after="240" w:line="360" w:lineRule="auto"/>
        <w:jc w:val="both"/>
        <w:rPr>
          <w:rFonts w:ascii="Palatino Linotype" w:eastAsia="MS Mincho" w:hAnsi="Palatino Linotype" w:cs="Times New Roman"/>
          <w:sz w:val="24"/>
          <w:szCs w:val="24"/>
          <w:lang w:val="es-ES_tradnl" w:eastAsia="es-ES"/>
        </w:rPr>
      </w:pPr>
    </w:p>
    <w:p w:rsidR="003A4466" w:rsidRPr="00B50274" w:rsidRDefault="003A4466" w:rsidP="00792776">
      <w:pPr>
        <w:spacing w:before="240" w:after="240" w:line="360" w:lineRule="auto"/>
        <w:jc w:val="both"/>
        <w:rPr>
          <w:rFonts w:ascii="Palatino Linotype" w:eastAsia="MS Mincho" w:hAnsi="Palatino Linotype" w:cs="Times New Roman"/>
          <w:sz w:val="24"/>
          <w:szCs w:val="24"/>
          <w:lang w:val="es-ES_tradnl" w:eastAsia="es-ES"/>
        </w:rPr>
      </w:pPr>
    </w:p>
    <w:p w:rsidR="00792776" w:rsidRPr="00B50274" w:rsidRDefault="00792776" w:rsidP="00792776">
      <w:pPr>
        <w:spacing w:before="240" w:after="240" w:line="360" w:lineRule="auto"/>
        <w:jc w:val="both"/>
        <w:rPr>
          <w:rFonts w:ascii="Palatino Linotype" w:eastAsia="MS Mincho" w:hAnsi="Palatino Linotype" w:cs="Times New Roman"/>
          <w:sz w:val="24"/>
          <w:szCs w:val="24"/>
          <w:lang w:val="es-ES_tradnl" w:eastAsia="es-ES"/>
        </w:rPr>
      </w:pPr>
      <w:r w:rsidRPr="00B50274">
        <w:rPr>
          <w:rFonts w:ascii="Palatino Linotype" w:eastAsia="MS Mincho" w:hAnsi="Palatino Linotype" w:cs="Times New Roman"/>
          <w:sz w:val="24"/>
          <w:szCs w:val="24"/>
          <w:lang w:val="es-ES_tradnl" w:eastAsia="es-ES"/>
        </w:rPr>
        <w:lastRenderedPageBreak/>
        <w:t>Resolución del Pleno del Instituto de Transparencia, Acceso a la Información Pública y Protección de Datos Personales del Estado de México y Municipios, con domicilio en Metepec, Estado de México; de</w:t>
      </w:r>
      <w:r w:rsidR="005A2B5F" w:rsidRPr="00B50274">
        <w:rPr>
          <w:rFonts w:ascii="Palatino Linotype" w:eastAsia="MS Mincho" w:hAnsi="Palatino Linotype" w:cs="Times New Roman"/>
          <w:sz w:val="24"/>
          <w:szCs w:val="24"/>
          <w:lang w:val="es-ES_tradnl" w:eastAsia="es-ES"/>
        </w:rPr>
        <w:t xml:space="preserve"> fecha </w:t>
      </w:r>
      <w:r w:rsidR="00A036B1" w:rsidRPr="00B50274">
        <w:rPr>
          <w:rFonts w:ascii="Palatino Linotype" w:eastAsia="MS Mincho" w:hAnsi="Palatino Linotype" w:cs="Times New Roman"/>
          <w:sz w:val="24"/>
          <w:szCs w:val="24"/>
          <w:lang w:val="es-ES_tradnl" w:eastAsia="es-ES"/>
        </w:rPr>
        <w:t>ocho (08</w:t>
      </w:r>
      <w:r w:rsidR="00976019" w:rsidRPr="00B50274">
        <w:rPr>
          <w:rFonts w:ascii="Palatino Linotype" w:eastAsia="MS Mincho" w:hAnsi="Palatino Linotype" w:cs="Times New Roman"/>
          <w:sz w:val="24"/>
          <w:szCs w:val="24"/>
          <w:lang w:val="es-ES_tradnl" w:eastAsia="es-ES"/>
        </w:rPr>
        <w:t>) de agosto</w:t>
      </w:r>
      <w:r w:rsidR="00C64E0E" w:rsidRPr="00B50274">
        <w:rPr>
          <w:rFonts w:ascii="Palatino Linotype" w:eastAsia="MS Mincho" w:hAnsi="Palatino Linotype" w:cs="Times New Roman"/>
          <w:sz w:val="24"/>
          <w:szCs w:val="24"/>
          <w:lang w:val="es-ES_tradnl" w:eastAsia="es-ES"/>
        </w:rPr>
        <w:t xml:space="preserve"> de </w:t>
      </w:r>
      <w:r w:rsidR="00914E9A" w:rsidRPr="00B50274">
        <w:rPr>
          <w:rFonts w:ascii="Palatino Linotype" w:eastAsia="MS Mincho" w:hAnsi="Palatino Linotype" w:cs="Times New Roman"/>
          <w:sz w:val="24"/>
          <w:szCs w:val="24"/>
          <w:lang w:val="es-ES_tradnl" w:eastAsia="es-ES"/>
        </w:rPr>
        <w:t>dos mil dieciocho</w:t>
      </w:r>
      <w:r w:rsidR="00C64E0E" w:rsidRPr="00B50274">
        <w:rPr>
          <w:rFonts w:ascii="Palatino Linotype" w:eastAsia="MS Mincho" w:hAnsi="Palatino Linotype" w:cs="Times New Roman"/>
          <w:sz w:val="24"/>
          <w:szCs w:val="24"/>
          <w:lang w:val="es-ES_tradnl" w:eastAsia="es-ES"/>
        </w:rPr>
        <w:t>.</w:t>
      </w:r>
    </w:p>
    <w:p w:rsidR="00792776" w:rsidRPr="00B50274" w:rsidRDefault="00792776" w:rsidP="00792776">
      <w:pPr>
        <w:spacing w:before="240" w:after="360" w:line="360" w:lineRule="auto"/>
        <w:jc w:val="both"/>
        <w:rPr>
          <w:rFonts w:ascii="Palatino Linotype" w:eastAsia="MS Mincho" w:hAnsi="Palatino Linotype" w:cs="Arial"/>
          <w:b/>
          <w:sz w:val="24"/>
          <w:szCs w:val="24"/>
          <w:lang w:val="es-ES_tradnl" w:eastAsia="es-ES"/>
        </w:rPr>
      </w:pPr>
      <w:r w:rsidRPr="00B50274">
        <w:rPr>
          <w:rFonts w:ascii="Palatino Linotype" w:eastAsia="MS Mincho" w:hAnsi="Palatino Linotype" w:cs="Times New Roman"/>
          <w:b/>
          <w:sz w:val="24"/>
          <w:szCs w:val="24"/>
          <w:lang w:val="es-ES_tradnl" w:eastAsia="es-ES"/>
        </w:rPr>
        <w:t>VISTO</w:t>
      </w:r>
      <w:r w:rsidRPr="00B50274">
        <w:rPr>
          <w:rFonts w:ascii="Palatino Linotype" w:eastAsia="MS Mincho" w:hAnsi="Palatino Linotype" w:cs="Times New Roman"/>
          <w:sz w:val="24"/>
          <w:szCs w:val="24"/>
          <w:lang w:val="es-ES_tradnl" w:eastAsia="es-ES"/>
        </w:rPr>
        <w:t xml:space="preserve"> el expediente electrónico formado con motivo del recurso de revisión</w:t>
      </w:r>
      <w:r w:rsidRPr="00B50274">
        <w:rPr>
          <w:rFonts w:ascii="Palatino Linotype" w:eastAsia="MS Mincho" w:hAnsi="Palatino Linotype" w:cs="Arial"/>
          <w:b/>
          <w:bCs/>
          <w:sz w:val="24"/>
          <w:szCs w:val="24"/>
          <w:lang w:val="es-ES_tradnl" w:eastAsia="es-ES"/>
        </w:rPr>
        <w:t xml:space="preserve">, </w:t>
      </w:r>
      <w:r w:rsidR="00202E6A" w:rsidRPr="00B50274">
        <w:rPr>
          <w:rFonts w:ascii="Palatino Linotype" w:eastAsia="MS Mincho" w:hAnsi="Palatino Linotype" w:cs="Arial"/>
          <w:b/>
          <w:bCs/>
          <w:sz w:val="24"/>
          <w:szCs w:val="24"/>
          <w:lang w:val="es-ES_tradnl" w:eastAsia="es-ES"/>
        </w:rPr>
        <w:t>0</w:t>
      </w:r>
      <w:r w:rsidR="0081179A" w:rsidRPr="00B50274">
        <w:rPr>
          <w:rFonts w:ascii="Palatino Linotype" w:eastAsia="MS Mincho" w:hAnsi="Palatino Linotype" w:cs="Arial"/>
          <w:b/>
          <w:bCs/>
          <w:sz w:val="24"/>
          <w:szCs w:val="24"/>
          <w:lang w:val="es-ES_tradnl" w:eastAsia="es-ES"/>
        </w:rPr>
        <w:t>21</w:t>
      </w:r>
      <w:r w:rsidR="007010FC" w:rsidRPr="00B50274">
        <w:rPr>
          <w:rFonts w:ascii="Palatino Linotype" w:eastAsia="MS Mincho" w:hAnsi="Palatino Linotype" w:cs="Arial"/>
          <w:b/>
          <w:bCs/>
          <w:sz w:val="24"/>
          <w:szCs w:val="24"/>
          <w:lang w:val="es-ES_tradnl" w:eastAsia="es-ES"/>
        </w:rPr>
        <w:t>7</w:t>
      </w:r>
      <w:r w:rsidR="0081179A" w:rsidRPr="00B50274">
        <w:rPr>
          <w:rFonts w:ascii="Palatino Linotype" w:eastAsia="MS Mincho" w:hAnsi="Palatino Linotype" w:cs="Arial"/>
          <w:b/>
          <w:bCs/>
          <w:sz w:val="24"/>
          <w:szCs w:val="24"/>
          <w:lang w:val="es-ES_tradnl" w:eastAsia="es-ES"/>
        </w:rPr>
        <w:t>3</w:t>
      </w:r>
      <w:r w:rsidRPr="00B50274">
        <w:rPr>
          <w:rFonts w:ascii="Palatino Linotype" w:eastAsia="MS Mincho" w:hAnsi="Palatino Linotype" w:cs="Arial"/>
          <w:b/>
          <w:bCs/>
          <w:sz w:val="24"/>
          <w:szCs w:val="24"/>
          <w:lang w:val="es-ES_tradnl" w:eastAsia="es-ES"/>
        </w:rPr>
        <w:t>/INFOEM/IP/RR/201</w:t>
      </w:r>
      <w:r w:rsidR="00883B38" w:rsidRPr="00B50274">
        <w:rPr>
          <w:rFonts w:ascii="Palatino Linotype" w:eastAsia="MS Mincho" w:hAnsi="Palatino Linotype" w:cs="Arial"/>
          <w:b/>
          <w:bCs/>
          <w:sz w:val="24"/>
          <w:szCs w:val="24"/>
          <w:lang w:val="es-ES_tradnl" w:eastAsia="es-ES"/>
        </w:rPr>
        <w:t>8</w:t>
      </w:r>
      <w:r w:rsidRPr="00B50274">
        <w:rPr>
          <w:rFonts w:ascii="Palatino Linotype" w:eastAsia="MS Mincho" w:hAnsi="Palatino Linotype" w:cs="Arial"/>
          <w:b/>
          <w:bCs/>
          <w:sz w:val="24"/>
          <w:szCs w:val="24"/>
          <w:lang w:val="es-ES_tradnl" w:eastAsia="es-ES"/>
        </w:rPr>
        <w:t xml:space="preserve"> </w:t>
      </w:r>
      <w:r w:rsidRPr="00B50274">
        <w:rPr>
          <w:rFonts w:ascii="Palatino Linotype" w:eastAsia="MS Mincho" w:hAnsi="Palatino Linotype" w:cs="Times New Roman"/>
          <w:sz w:val="24"/>
          <w:szCs w:val="24"/>
          <w:lang w:val="es-ES_tradnl" w:eastAsia="es-ES"/>
        </w:rPr>
        <w:t>promovido por</w:t>
      </w:r>
      <w:r w:rsidRPr="00B50274">
        <w:rPr>
          <w:rFonts w:ascii="Palatino Linotype" w:hAnsi="Palatino Linotype"/>
          <w:b/>
          <w:sz w:val="24"/>
          <w:szCs w:val="24"/>
        </w:rPr>
        <w:t xml:space="preserve"> </w:t>
      </w:r>
      <w:r w:rsidR="00F761EA" w:rsidRPr="00F761EA">
        <w:rPr>
          <w:rFonts w:ascii="Palatino Linotype" w:eastAsia="MS Mincho" w:hAnsi="Palatino Linotype" w:cs="Arial"/>
          <w:b/>
          <w:sz w:val="24"/>
          <w:szCs w:val="24"/>
          <w:highlight w:val="black"/>
          <w:lang w:val="es-ES_tradnl" w:eastAsia="es-ES"/>
        </w:rPr>
        <w:t>----------------------------------</w:t>
      </w:r>
      <w:r w:rsidR="007010FC" w:rsidRPr="00B50274">
        <w:rPr>
          <w:rFonts w:ascii="Palatino Linotype" w:eastAsia="MS Mincho" w:hAnsi="Palatino Linotype" w:cs="Arial"/>
          <w:b/>
          <w:sz w:val="24"/>
          <w:szCs w:val="24"/>
          <w:lang w:val="es-ES_tradnl" w:eastAsia="es-ES"/>
        </w:rPr>
        <w:t xml:space="preserve"> </w:t>
      </w:r>
      <w:r w:rsidRPr="00B50274">
        <w:rPr>
          <w:rFonts w:ascii="Palatino Linotype" w:eastAsia="MS Mincho" w:hAnsi="Palatino Linotype" w:cs="Arial"/>
          <w:sz w:val="24"/>
          <w:szCs w:val="24"/>
          <w:lang w:val="es-ES_tradnl" w:eastAsia="es-ES"/>
        </w:rPr>
        <w:t xml:space="preserve">en su calidad de </w:t>
      </w:r>
      <w:r w:rsidRPr="00B50274">
        <w:rPr>
          <w:rFonts w:ascii="Palatino Linotype" w:eastAsia="MS Mincho" w:hAnsi="Palatino Linotype" w:cs="Arial"/>
          <w:b/>
          <w:sz w:val="24"/>
          <w:szCs w:val="24"/>
          <w:lang w:val="es-ES_tradnl" w:eastAsia="es-ES"/>
        </w:rPr>
        <w:t>RECURRENTE</w:t>
      </w:r>
      <w:r w:rsidR="007010FC" w:rsidRPr="00B50274">
        <w:rPr>
          <w:rFonts w:ascii="Palatino Linotype" w:eastAsia="MS Mincho" w:hAnsi="Palatino Linotype" w:cs="Arial"/>
          <w:sz w:val="24"/>
          <w:szCs w:val="24"/>
          <w:lang w:val="es-ES_tradnl" w:eastAsia="es-ES"/>
        </w:rPr>
        <w:t>, en contra de la</w:t>
      </w:r>
      <w:r w:rsidRPr="00B50274">
        <w:rPr>
          <w:rFonts w:ascii="Palatino Linotype" w:eastAsia="MS Mincho" w:hAnsi="Palatino Linotype" w:cs="Arial"/>
          <w:sz w:val="24"/>
          <w:szCs w:val="24"/>
          <w:lang w:val="es-ES_tradnl" w:eastAsia="es-ES"/>
        </w:rPr>
        <w:t xml:space="preserve"> respuesta del </w:t>
      </w:r>
      <w:r w:rsidR="007010FC" w:rsidRPr="00B50274">
        <w:rPr>
          <w:rFonts w:ascii="Palatino Linotype" w:hAnsi="Palatino Linotype"/>
          <w:b/>
          <w:sz w:val="24"/>
          <w:szCs w:val="24"/>
        </w:rPr>
        <w:t>Poder Legislativo</w:t>
      </w:r>
      <w:r w:rsidRPr="00B50274">
        <w:rPr>
          <w:rFonts w:ascii="Palatino Linotype" w:eastAsia="MS Mincho" w:hAnsi="Palatino Linotype" w:cs="Arial"/>
          <w:b/>
          <w:sz w:val="24"/>
          <w:szCs w:val="24"/>
          <w:lang w:val="es-ES_tradnl" w:eastAsia="es-ES"/>
        </w:rPr>
        <w:t>,</w:t>
      </w:r>
      <w:r w:rsidRPr="00B50274">
        <w:rPr>
          <w:rFonts w:ascii="Palatino Linotype" w:eastAsia="MS Mincho" w:hAnsi="Palatino Linotype" w:cs="Times New Roman"/>
          <w:b/>
          <w:sz w:val="24"/>
          <w:szCs w:val="24"/>
          <w:lang w:val="es-ES_tradnl" w:eastAsia="es-ES"/>
        </w:rPr>
        <w:t xml:space="preserve"> </w:t>
      </w:r>
      <w:r w:rsidRPr="00B50274">
        <w:rPr>
          <w:rFonts w:ascii="Palatino Linotype" w:eastAsia="MS Mincho" w:hAnsi="Palatino Linotype" w:cs="Times New Roman"/>
          <w:sz w:val="24"/>
          <w:szCs w:val="24"/>
          <w:lang w:val="es-ES_tradnl" w:eastAsia="es-ES"/>
        </w:rPr>
        <w:t>en lo sucesivo el</w:t>
      </w:r>
      <w:r w:rsidRPr="00B50274">
        <w:rPr>
          <w:rFonts w:ascii="Palatino Linotype" w:eastAsia="MS Mincho" w:hAnsi="Palatino Linotype" w:cs="Times New Roman"/>
          <w:b/>
          <w:sz w:val="24"/>
          <w:szCs w:val="24"/>
          <w:lang w:val="es-ES_tradnl" w:eastAsia="es-ES"/>
        </w:rPr>
        <w:t xml:space="preserve"> SUJETO OBLIGADO, </w:t>
      </w:r>
      <w:r w:rsidRPr="00B50274">
        <w:rPr>
          <w:rFonts w:ascii="Palatino Linotype" w:eastAsia="MS Mincho" w:hAnsi="Palatino Linotype" w:cs="Times New Roman"/>
          <w:sz w:val="24"/>
          <w:szCs w:val="24"/>
          <w:lang w:val="es-ES_tradnl" w:eastAsia="es-ES"/>
        </w:rPr>
        <w:t>se procede a dictar la presente resolución, con base en los siguientes:</w:t>
      </w:r>
    </w:p>
    <w:p w:rsidR="00792776" w:rsidRPr="00B50274" w:rsidRDefault="00792776" w:rsidP="00792776">
      <w:pPr>
        <w:keepNext/>
        <w:keepLines/>
        <w:spacing w:before="240" w:after="0"/>
        <w:jc w:val="center"/>
        <w:outlineLvl w:val="0"/>
        <w:rPr>
          <w:rFonts w:ascii="Palatino Linotype" w:eastAsia="MS Gothic" w:hAnsi="Palatino Linotype" w:cs="Times New Roman"/>
          <w:b/>
          <w:sz w:val="24"/>
          <w:szCs w:val="32"/>
        </w:rPr>
      </w:pPr>
      <w:bookmarkStart w:id="0" w:name="_Toc521603644"/>
      <w:r w:rsidRPr="00B50274">
        <w:rPr>
          <w:rFonts w:ascii="Palatino Linotype" w:eastAsia="MS Gothic" w:hAnsi="Palatino Linotype" w:cs="Times New Roman"/>
          <w:b/>
          <w:sz w:val="24"/>
          <w:szCs w:val="32"/>
        </w:rPr>
        <w:t>A N T E C E D E N T E S</w:t>
      </w:r>
      <w:bookmarkEnd w:id="0"/>
    </w:p>
    <w:p w:rsidR="00792776" w:rsidRPr="00B50274" w:rsidRDefault="00792776" w:rsidP="00883B38"/>
    <w:p w:rsidR="00792776" w:rsidRPr="00B50274" w:rsidRDefault="00792776" w:rsidP="007010FC">
      <w:pPr>
        <w:numPr>
          <w:ilvl w:val="0"/>
          <w:numId w:val="2"/>
        </w:numPr>
        <w:spacing w:before="240" w:after="240" w:line="360" w:lineRule="auto"/>
        <w:contextualSpacing/>
        <w:jc w:val="both"/>
        <w:rPr>
          <w:rFonts w:ascii="Palatino Linotype" w:eastAsia="Calibri" w:hAnsi="Palatino Linotype" w:cs="Arial"/>
          <w:sz w:val="24"/>
          <w:szCs w:val="24"/>
          <w:lang w:val="es-ES" w:eastAsia="es-ES"/>
        </w:rPr>
      </w:pPr>
      <w:r w:rsidRPr="00B50274">
        <w:rPr>
          <w:rFonts w:ascii="Palatino Linotype" w:eastAsia="Calibri" w:hAnsi="Palatino Linotype" w:cs="Arial"/>
          <w:sz w:val="24"/>
          <w:szCs w:val="24"/>
          <w:lang w:val="es-ES" w:eastAsia="es-ES"/>
        </w:rPr>
        <w:t xml:space="preserve">El día </w:t>
      </w:r>
      <w:r w:rsidR="009E68C8" w:rsidRPr="00B50274">
        <w:rPr>
          <w:rFonts w:ascii="Palatino Linotype" w:eastAsia="Times New Roman" w:hAnsi="Palatino Linotype" w:cs="Arial"/>
          <w:sz w:val="24"/>
          <w:szCs w:val="24"/>
          <w:lang w:val="es-ES" w:eastAsia="es-ES"/>
        </w:rPr>
        <w:t>once (11) de mayo</w:t>
      </w:r>
      <w:r w:rsidR="00960D99" w:rsidRPr="00B50274">
        <w:rPr>
          <w:rFonts w:ascii="Palatino Linotype" w:eastAsia="Times New Roman" w:hAnsi="Palatino Linotype" w:cs="Arial"/>
          <w:sz w:val="24"/>
          <w:szCs w:val="24"/>
          <w:lang w:val="es-ES" w:eastAsia="es-ES"/>
        </w:rPr>
        <w:t xml:space="preserve"> de dos mil dieciocho</w:t>
      </w:r>
      <w:r w:rsidRPr="00B50274">
        <w:rPr>
          <w:rFonts w:ascii="Palatino Linotype" w:eastAsia="Calibri" w:hAnsi="Palatino Linotype" w:cs="Arial"/>
          <w:sz w:val="24"/>
          <w:szCs w:val="24"/>
          <w:lang w:val="es-ES" w:eastAsia="es-ES"/>
        </w:rPr>
        <w:t>,</w:t>
      </w:r>
      <w:r w:rsidRPr="00B50274">
        <w:rPr>
          <w:rFonts w:ascii="Palatino Linotype" w:eastAsia="Calibri" w:hAnsi="Palatino Linotype" w:cs="Times New Roman"/>
          <w:sz w:val="24"/>
          <w:szCs w:val="24"/>
          <w:lang w:val="es-ES" w:eastAsia="es-ES"/>
        </w:rPr>
        <w:t xml:space="preserve"> se presentó </w:t>
      </w:r>
      <w:r w:rsidRPr="00B50274">
        <w:rPr>
          <w:rFonts w:ascii="Palatino Linotype" w:eastAsia="Calibri" w:hAnsi="Palatino Linotype" w:cs="Arial"/>
          <w:sz w:val="24"/>
          <w:szCs w:val="24"/>
          <w:lang w:val="es-ES" w:eastAsia="es-ES"/>
        </w:rPr>
        <w:t xml:space="preserve">ante el </w:t>
      </w:r>
      <w:r w:rsidRPr="00B50274">
        <w:rPr>
          <w:rFonts w:ascii="Palatino Linotype" w:eastAsia="Calibri" w:hAnsi="Palatino Linotype" w:cs="Arial"/>
          <w:b/>
          <w:sz w:val="24"/>
          <w:szCs w:val="24"/>
          <w:lang w:val="es-ES" w:eastAsia="es-ES"/>
        </w:rPr>
        <w:t>SUJETO OBLIGADO</w:t>
      </w:r>
      <w:r w:rsidRPr="00B50274">
        <w:rPr>
          <w:rFonts w:ascii="Palatino Linotype" w:eastAsia="Calibri" w:hAnsi="Palatino Linotype" w:cs="Arial"/>
          <w:sz w:val="24"/>
          <w:szCs w:val="24"/>
          <w:lang w:val="es-ES_tradnl" w:eastAsia="es-ES"/>
        </w:rPr>
        <w:t xml:space="preserve"> vía </w:t>
      </w:r>
      <w:r w:rsidRPr="00B50274">
        <w:rPr>
          <w:rFonts w:ascii="Palatino Linotype" w:eastAsia="Calibri" w:hAnsi="Palatino Linotype" w:cs="Arial"/>
          <w:sz w:val="24"/>
          <w:szCs w:val="24"/>
          <w:lang w:val="es-ES" w:eastAsia="es-ES"/>
        </w:rPr>
        <w:t xml:space="preserve">Sistema de Acceso a la Información Mexiquense </w:t>
      </w:r>
      <w:r w:rsidRPr="00B50274">
        <w:rPr>
          <w:rFonts w:ascii="Palatino Linotype" w:eastAsia="Calibri" w:hAnsi="Palatino Linotype" w:cs="Arial"/>
          <w:b/>
          <w:sz w:val="24"/>
          <w:szCs w:val="24"/>
          <w:lang w:val="es-ES" w:eastAsia="es-ES"/>
        </w:rPr>
        <w:t>SAIMEX</w:t>
      </w:r>
      <w:r w:rsidRPr="00B50274">
        <w:rPr>
          <w:rFonts w:ascii="Palatino Linotype" w:eastAsia="Calibri" w:hAnsi="Palatino Linotype" w:cs="Arial"/>
          <w:sz w:val="24"/>
          <w:szCs w:val="24"/>
          <w:lang w:val="es-ES" w:eastAsia="es-ES"/>
        </w:rPr>
        <w:t xml:space="preserve">, la solicitud de información pública registrada con el número </w:t>
      </w:r>
      <w:r w:rsidR="007010FC" w:rsidRPr="00B50274">
        <w:rPr>
          <w:rFonts w:ascii="Palatino Linotype" w:eastAsia="Times New Roman" w:hAnsi="Palatino Linotype" w:cs="Arial"/>
          <w:b/>
          <w:bCs/>
          <w:sz w:val="24"/>
          <w:szCs w:val="24"/>
          <w:lang w:eastAsia="es-ES"/>
        </w:rPr>
        <w:t>00218/PLEGISLA/IP/2018</w:t>
      </w:r>
      <w:r w:rsidRPr="00B50274">
        <w:rPr>
          <w:rFonts w:ascii="Palatino Linotype" w:eastAsia="MS Mincho" w:hAnsi="Palatino Linotype" w:cs="Times New Roman"/>
          <w:b/>
          <w:bCs/>
          <w:sz w:val="24"/>
          <w:szCs w:val="24"/>
          <w:lang w:val="es-ES_tradnl" w:eastAsia="es-ES"/>
        </w:rPr>
        <w:t xml:space="preserve">, </w:t>
      </w:r>
      <w:r w:rsidRPr="00B50274">
        <w:rPr>
          <w:rFonts w:ascii="Palatino Linotype" w:eastAsia="Calibri" w:hAnsi="Palatino Linotype" w:cs="Arial"/>
          <w:sz w:val="24"/>
          <w:szCs w:val="24"/>
          <w:lang w:val="es-ES" w:eastAsia="es-ES"/>
        </w:rPr>
        <w:t>mediante la cual se solicitó:</w:t>
      </w:r>
    </w:p>
    <w:p w:rsidR="00792776" w:rsidRPr="00B50274" w:rsidRDefault="00792776" w:rsidP="00792776">
      <w:pPr>
        <w:spacing w:before="240" w:after="240" w:line="360" w:lineRule="auto"/>
        <w:ind w:left="426"/>
        <w:contextualSpacing/>
        <w:jc w:val="both"/>
        <w:rPr>
          <w:rFonts w:ascii="Palatino Linotype" w:eastAsia="Calibri" w:hAnsi="Palatino Linotype" w:cs="Arial"/>
          <w:sz w:val="24"/>
          <w:szCs w:val="24"/>
          <w:lang w:val="es-ES" w:eastAsia="es-ES"/>
        </w:rPr>
      </w:pPr>
    </w:p>
    <w:p w:rsidR="00792776" w:rsidRPr="00B50274" w:rsidRDefault="00792776" w:rsidP="00101818">
      <w:pPr>
        <w:spacing w:after="0" w:line="360" w:lineRule="auto"/>
        <w:ind w:left="567" w:right="567"/>
        <w:contextualSpacing/>
        <w:jc w:val="both"/>
        <w:rPr>
          <w:rFonts w:ascii="Palatino Linotype" w:hAnsi="Palatino Linotype"/>
          <w:i/>
        </w:rPr>
      </w:pPr>
      <w:r w:rsidRPr="00B50274">
        <w:rPr>
          <w:rFonts w:ascii="Palatino Linotype" w:hAnsi="Palatino Linotype"/>
          <w:i/>
        </w:rPr>
        <w:t>“</w:t>
      </w:r>
      <w:r w:rsidR="009E68C8" w:rsidRPr="00B50274">
        <w:rPr>
          <w:rFonts w:ascii="Palatino Linotype" w:hAnsi="Palatino Linotype"/>
          <w:i/>
        </w:rPr>
        <w:t xml:space="preserve">Buena tardes solicito lo siguiente: 1. Copias del expediente OSFEM/UAJ/PAR-IM/294/13 2. Copia de la </w:t>
      </w:r>
      <w:proofErr w:type="spellStart"/>
      <w:r w:rsidR="009E68C8" w:rsidRPr="00B50274">
        <w:rPr>
          <w:rFonts w:ascii="Palatino Linotype" w:hAnsi="Palatino Linotype"/>
          <w:i/>
        </w:rPr>
        <w:t>Resolucion</w:t>
      </w:r>
      <w:proofErr w:type="spellEnd"/>
      <w:r w:rsidR="009E68C8" w:rsidRPr="00B50274">
        <w:rPr>
          <w:rFonts w:ascii="Palatino Linotype" w:hAnsi="Palatino Linotype"/>
          <w:i/>
        </w:rPr>
        <w:t xml:space="preserve"> emitida en el expediente RR-PAR/370/14 y su acumulado RR-PAR/371/14 y sus respectivas constancias de notificación </w:t>
      </w:r>
      <w:proofErr w:type="spellStart"/>
      <w:r w:rsidR="009E68C8" w:rsidRPr="00B50274">
        <w:rPr>
          <w:rFonts w:ascii="Palatino Linotype" w:hAnsi="Palatino Linotype"/>
          <w:i/>
        </w:rPr>
        <w:t>asi</w:t>
      </w:r>
      <w:proofErr w:type="spellEnd"/>
      <w:r w:rsidR="009E68C8" w:rsidRPr="00B50274">
        <w:rPr>
          <w:rFonts w:ascii="Palatino Linotype" w:hAnsi="Palatino Linotype"/>
          <w:i/>
        </w:rPr>
        <w:t xml:space="preserve"> como la sentencia </w:t>
      </w:r>
      <w:proofErr w:type="spellStart"/>
      <w:r w:rsidR="009E68C8" w:rsidRPr="00B50274">
        <w:rPr>
          <w:rFonts w:ascii="Palatino Linotype" w:hAnsi="Palatino Linotype"/>
          <w:i/>
        </w:rPr>
        <w:t>dicatad</w:t>
      </w:r>
      <w:proofErr w:type="spellEnd"/>
      <w:r w:rsidR="009E68C8" w:rsidRPr="00B50274">
        <w:rPr>
          <w:rFonts w:ascii="Palatino Linotype" w:hAnsi="Palatino Linotype"/>
          <w:i/>
        </w:rPr>
        <w:t xml:space="preserve"> en el juicio de amparo 1900/2015 y amparo en </w:t>
      </w:r>
      <w:proofErr w:type="spellStart"/>
      <w:r w:rsidR="009E68C8" w:rsidRPr="00B50274">
        <w:rPr>
          <w:rFonts w:ascii="Palatino Linotype" w:hAnsi="Palatino Linotype"/>
          <w:i/>
        </w:rPr>
        <w:t>revision</w:t>
      </w:r>
      <w:proofErr w:type="spellEnd"/>
      <w:r w:rsidR="009E68C8" w:rsidRPr="00B50274">
        <w:rPr>
          <w:rFonts w:ascii="Palatino Linotype" w:hAnsi="Palatino Linotype"/>
          <w:i/>
        </w:rPr>
        <w:t xml:space="preserve"> 165/2016 3. Solicito los documentos que ustedes como OSFEM solicitaron al Municipio de </w:t>
      </w:r>
      <w:proofErr w:type="spellStart"/>
      <w:r w:rsidR="009E68C8" w:rsidRPr="00B50274">
        <w:rPr>
          <w:rFonts w:ascii="Palatino Linotype" w:hAnsi="Palatino Linotype"/>
          <w:i/>
        </w:rPr>
        <w:t>Xonacatlán</w:t>
      </w:r>
      <w:proofErr w:type="spellEnd"/>
      <w:r w:rsidR="009E68C8" w:rsidRPr="00B50274">
        <w:rPr>
          <w:rFonts w:ascii="Palatino Linotype" w:hAnsi="Palatino Linotype"/>
          <w:i/>
        </w:rPr>
        <w:t xml:space="preserve"> y estos les remitieron como comprobantes del requerimiento de pago por parte de dicho Ayuntamiento a los CC </w:t>
      </w:r>
      <w:proofErr w:type="spellStart"/>
      <w:r w:rsidR="009E68C8" w:rsidRPr="00B50274">
        <w:rPr>
          <w:rFonts w:ascii="Palatino Linotype" w:hAnsi="Palatino Linotype"/>
          <w:i/>
        </w:rPr>
        <w:t>Serafin</w:t>
      </w:r>
      <w:proofErr w:type="spellEnd"/>
      <w:r w:rsidR="009E68C8" w:rsidRPr="00B50274">
        <w:rPr>
          <w:rFonts w:ascii="Palatino Linotype" w:hAnsi="Palatino Linotype"/>
          <w:i/>
        </w:rPr>
        <w:t xml:space="preserve"> </w:t>
      </w:r>
      <w:proofErr w:type="spellStart"/>
      <w:r w:rsidR="009E68C8" w:rsidRPr="00B50274">
        <w:rPr>
          <w:rFonts w:ascii="Palatino Linotype" w:hAnsi="Palatino Linotype"/>
          <w:i/>
        </w:rPr>
        <w:t>Gutierrez</w:t>
      </w:r>
      <w:proofErr w:type="spellEnd"/>
      <w:r w:rsidR="009E68C8" w:rsidRPr="00B50274">
        <w:rPr>
          <w:rFonts w:ascii="Palatino Linotype" w:hAnsi="Palatino Linotype"/>
          <w:i/>
        </w:rPr>
        <w:t xml:space="preserve"> Morales, Lucio Rosas Castro </w:t>
      </w:r>
      <w:r w:rsidR="009E68C8" w:rsidRPr="00B50274">
        <w:rPr>
          <w:rFonts w:ascii="Palatino Linotype" w:hAnsi="Palatino Linotype"/>
          <w:i/>
        </w:rPr>
        <w:lastRenderedPageBreak/>
        <w:t xml:space="preserve">y Alejandra Fabiola Hurtado y en caso de pago remitir los comprobantes d </w:t>
      </w:r>
      <w:proofErr w:type="spellStart"/>
      <w:r w:rsidR="009E68C8" w:rsidRPr="00B50274">
        <w:rPr>
          <w:rFonts w:ascii="Palatino Linotype" w:hAnsi="Palatino Linotype"/>
          <w:i/>
        </w:rPr>
        <w:t>eingresos</w:t>
      </w:r>
      <w:proofErr w:type="spellEnd"/>
      <w:r w:rsidR="009E68C8" w:rsidRPr="00B50274">
        <w:rPr>
          <w:rFonts w:ascii="Palatino Linotype" w:hAnsi="Palatino Linotype"/>
          <w:i/>
        </w:rPr>
        <w:t xml:space="preserve"> respectivos</w:t>
      </w:r>
      <w:r w:rsidR="00FA4507" w:rsidRPr="00B50274">
        <w:rPr>
          <w:rFonts w:ascii="Palatino Linotype" w:hAnsi="Palatino Linotype"/>
          <w:i/>
        </w:rPr>
        <w:t>.</w:t>
      </w:r>
      <w:r w:rsidR="00C64E0E" w:rsidRPr="00B50274">
        <w:rPr>
          <w:rFonts w:ascii="Palatino Linotype" w:hAnsi="Palatino Linotype"/>
          <w:i/>
        </w:rPr>
        <w:t>“ (</w:t>
      </w:r>
      <w:r w:rsidRPr="00B50274">
        <w:rPr>
          <w:rFonts w:ascii="Palatino Linotype" w:hAnsi="Palatino Linotype"/>
          <w:i/>
        </w:rPr>
        <w:t>Sic)</w:t>
      </w:r>
    </w:p>
    <w:p w:rsidR="00792776" w:rsidRPr="00B50274" w:rsidRDefault="00792776" w:rsidP="00792776">
      <w:pPr>
        <w:spacing w:after="0" w:line="360" w:lineRule="auto"/>
        <w:ind w:left="502"/>
        <w:contextualSpacing/>
        <w:jc w:val="both"/>
        <w:rPr>
          <w:rFonts w:ascii="Palatino Linotype" w:eastAsia="Times New Roman" w:hAnsi="Palatino Linotype" w:cs="Arial"/>
          <w:i/>
          <w:lang w:val="es-ES" w:eastAsia="es-ES"/>
        </w:rPr>
      </w:pPr>
    </w:p>
    <w:p w:rsidR="00792776" w:rsidRPr="00B50274" w:rsidRDefault="00792776" w:rsidP="00792776">
      <w:pPr>
        <w:numPr>
          <w:ilvl w:val="0"/>
          <w:numId w:val="1"/>
        </w:numPr>
        <w:spacing w:after="0" w:line="360" w:lineRule="auto"/>
        <w:contextualSpacing/>
        <w:jc w:val="both"/>
        <w:rPr>
          <w:rFonts w:ascii="Palatino Linotype" w:eastAsia="Times New Roman" w:hAnsi="Palatino Linotype" w:cs="Arial"/>
          <w:sz w:val="24"/>
          <w:szCs w:val="24"/>
          <w:lang w:val="es-ES" w:eastAsia="es-ES"/>
        </w:rPr>
      </w:pPr>
      <w:r w:rsidRPr="00B50274">
        <w:rPr>
          <w:rFonts w:ascii="Palatino Linotype" w:eastAsia="Times New Roman" w:hAnsi="Palatino Linotype" w:cs="Arial"/>
          <w:sz w:val="24"/>
          <w:szCs w:val="24"/>
          <w:lang w:val="es-ES" w:eastAsia="es-ES"/>
        </w:rPr>
        <w:t>Se señaló como modalidad de entrega de la información</w:t>
      </w:r>
      <w:r w:rsidRPr="00B50274">
        <w:rPr>
          <w:rFonts w:ascii="Palatino Linotype" w:eastAsia="Times New Roman" w:hAnsi="Palatino Linotype" w:cs="Arial"/>
          <w:b/>
          <w:sz w:val="24"/>
          <w:szCs w:val="24"/>
          <w:lang w:val="es-ES" w:eastAsia="es-ES"/>
        </w:rPr>
        <w:t>:</w:t>
      </w:r>
      <w:r w:rsidRPr="00B50274">
        <w:rPr>
          <w:rFonts w:ascii="Palatino Linotype" w:eastAsia="Times New Roman" w:hAnsi="Palatino Linotype" w:cs="Arial"/>
          <w:sz w:val="24"/>
          <w:szCs w:val="24"/>
          <w:lang w:val="es-ES" w:eastAsia="es-ES"/>
        </w:rPr>
        <w:t xml:space="preserve"> </w:t>
      </w:r>
      <w:r w:rsidRPr="00B50274">
        <w:rPr>
          <w:rFonts w:ascii="Palatino Linotype" w:eastAsia="Times New Roman" w:hAnsi="Palatino Linotype" w:cs="Arial"/>
          <w:b/>
          <w:sz w:val="24"/>
          <w:szCs w:val="24"/>
          <w:lang w:val="es-ES" w:eastAsia="es-ES"/>
        </w:rPr>
        <w:t>a través del SAIMEX</w:t>
      </w:r>
      <w:r w:rsidRPr="00B50274">
        <w:rPr>
          <w:rFonts w:ascii="Palatino Linotype" w:eastAsia="MS Mincho" w:hAnsi="Palatino Linotype" w:cs="Times New Roman"/>
          <w:b/>
          <w:sz w:val="24"/>
          <w:szCs w:val="14"/>
          <w:lang w:val="es-ES_tradnl" w:eastAsia="es-ES"/>
        </w:rPr>
        <w:t>.</w:t>
      </w:r>
    </w:p>
    <w:p w:rsidR="000D16AE" w:rsidRPr="00B50274" w:rsidRDefault="000D16AE" w:rsidP="000D16AE">
      <w:pPr>
        <w:spacing w:after="0" w:line="360" w:lineRule="auto"/>
        <w:ind w:left="502"/>
        <w:contextualSpacing/>
        <w:jc w:val="both"/>
        <w:rPr>
          <w:rFonts w:ascii="Palatino Linotype" w:eastAsia="Times New Roman" w:hAnsi="Palatino Linotype" w:cs="Arial"/>
          <w:sz w:val="24"/>
          <w:szCs w:val="24"/>
          <w:lang w:val="es-ES" w:eastAsia="es-ES"/>
        </w:rPr>
      </w:pPr>
    </w:p>
    <w:p w:rsidR="00D67342" w:rsidRPr="00B50274" w:rsidRDefault="00D67342" w:rsidP="00D67342">
      <w:pPr>
        <w:pStyle w:val="Prrafodelista"/>
        <w:numPr>
          <w:ilvl w:val="0"/>
          <w:numId w:val="2"/>
        </w:numPr>
        <w:spacing w:after="0" w:line="360" w:lineRule="auto"/>
        <w:ind w:left="284"/>
        <w:jc w:val="both"/>
        <w:rPr>
          <w:rFonts w:ascii="Palatino Linotype" w:eastAsia="Times New Roman" w:hAnsi="Palatino Linotype" w:cs="Arial"/>
          <w:sz w:val="24"/>
          <w:lang w:val="es-ES"/>
        </w:rPr>
      </w:pPr>
      <w:r w:rsidRPr="00B50274">
        <w:rPr>
          <w:rFonts w:ascii="Palatino Linotype" w:eastAsia="Times New Roman" w:hAnsi="Palatino Linotype" w:cs="Arial"/>
          <w:sz w:val="24"/>
          <w:lang w:val="es-ES"/>
        </w:rPr>
        <w:t xml:space="preserve">De las constancias que obran en el expediente electrónico del </w:t>
      </w:r>
      <w:r w:rsidRPr="00B50274">
        <w:rPr>
          <w:rFonts w:ascii="Palatino Linotype" w:eastAsia="Calibri" w:hAnsi="Palatino Linotype" w:cs="Arial"/>
          <w:b/>
          <w:sz w:val="24"/>
        </w:rPr>
        <w:t>SAIMEX</w:t>
      </w:r>
      <w:r w:rsidRPr="00B50274">
        <w:rPr>
          <w:rFonts w:ascii="Palatino Linotype" w:eastAsia="Times New Roman" w:hAnsi="Palatino Linotype" w:cs="Arial"/>
          <w:sz w:val="24"/>
          <w:lang w:val="es-ES"/>
        </w:rPr>
        <w:t xml:space="preserve">, se advierte que en fecha uno (01) de junio del año en curso el </w:t>
      </w:r>
      <w:r w:rsidRPr="00B50274">
        <w:rPr>
          <w:rFonts w:ascii="Palatino Linotype" w:eastAsia="Times New Roman" w:hAnsi="Palatino Linotype" w:cs="Arial"/>
          <w:b/>
          <w:sz w:val="24"/>
          <w:lang w:val="es-ES"/>
        </w:rPr>
        <w:t xml:space="preserve">SUJETO OBLIGADO  </w:t>
      </w:r>
      <w:r w:rsidRPr="00B50274">
        <w:rPr>
          <w:rFonts w:ascii="Palatino Linotype" w:hAnsi="Palatino Linotype"/>
          <w:sz w:val="24"/>
        </w:rPr>
        <w:t>dio contestación de</w:t>
      </w:r>
      <w:r w:rsidRPr="00B50274">
        <w:rPr>
          <w:rFonts w:ascii="Palatino Linotype" w:hAnsi="Palatino Linotype"/>
          <w:color w:val="000000"/>
          <w:sz w:val="24"/>
        </w:rPr>
        <w:t xml:space="preserve"> manera medular </w:t>
      </w:r>
      <w:r w:rsidRPr="00B50274">
        <w:rPr>
          <w:rFonts w:ascii="Palatino Linotype" w:hAnsi="Palatino Linotype"/>
          <w:sz w:val="24"/>
        </w:rPr>
        <w:t>en los siguientes términos:</w:t>
      </w:r>
    </w:p>
    <w:p w:rsidR="00D67342" w:rsidRPr="00B50274" w:rsidRDefault="00D67342" w:rsidP="00D67342">
      <w:pPr>
        <w:spacing w:before="240" w:line="360" w:lineRule="auto"/>
        <w:ind w:left="567" w:right="567"/>
        <w:contextualSpacing/>
        <w:jc w:val="both"/>
        <w:rPr>
          <w:rFonts w:ascii="Palatino Linotype" w:hAnsi="Palatino Linotype"/>
          <w:i/>
          <w:color w:val="000000"/>
        </w:rPr>
      </w:pPr>
      <w:r w:rsidRPr="00B50274">
        <w:rPr>
          <w:rFonts w:ascii="Palatino Linotype" w:hAnsi="Palatino Linotype"/>
          <w:i/>
          <w:color w:val="000000"/>
        </w:rPr>
        <w:t>“Mtro. Jesús Felipe Borja Coronel Titular de la Unidad de Información del</w:t>
      </w:r>
      <w:r w:rsidRPr="00B50274">
        <w:rPr>
          <w:rFonts w:ascii="Palatino Linotype" w:hAnsi="Palatino Linotype"/>
          <w:i/>
          <w:color w:val="000000"/>
        </w:rPr>
        <w:tab/>
        <w:t xml:space="preserve">Poder Legislativo del Estado </w:t>
      </w:r>
      <w:bookmarkStart w:id="1" w:name="_GoBack"/>
      <w:bookmarkEnd w:id="1"/>
      <w:r w:rsidRPr="00B50274">
        <w:rPr>
          <w:rFonts w:ascii="Palatino Linotype" w:hAnsi="Palatino Linotype"/>
          <w:i/>
          <w:color w:val="000000"/>
        </w:rPr>
        <w:t>de México P r e s e n t e Con fundamento en los artículos 3 fracción XXXIX, 11, 12, 23 fracción II y 59 fracciones I, II, III y VI de la Ley de Transparencia y Acceso a la Información Pública del Estado de México y Municipios, en atención al oficio UIPL/0562/2018, mediante el cual remite la solicitud número 0218/PLEGISLA/IP/2018, presentada mediante la plataforma electrónica Sistema de Acceso a la Información Mexiquense, se emite respuesta..”</w:t>
      </w:r>
    </w:p>
    <w:p w:rsidR="00D67342" w:rsidRPr="00B50274" w:rsidRDefault="00D67342" w:rsidP="00D67342">
      <w:pPr>
        <w:spacing w:before="240" w:line="360" w:lineRule="auto"/>
        <w:ind w:right="34"/>
        <w:contextualSpacing/>
        <w:rPr>
          <w:rFonts w:ascii="Palatino Linotype" w:eastAsia="Times New Roman" w:hAnsi="Palatino Linotype" w:cs="Arial"/>
          <w:sz w:val="24"/>
          <w:szCs w:val="24"/>
          <w:lang w:val="es-ES" w:eastAsia="es-ES"/>
        </w:rPr>
      </w:pPr>
    </w:p>
    <w:p w:rsidR="00C4473A" w:rsidRPr="00B50274" w:rsidRDefault="00D67342" w:rsidP="00D67342">
      <w:pPr>
        <w:spacing w:before="240" w:after="0" w:line="360" w:lineRule="auto"/>
        <w:ind w:right="34"/>
        <w:contextualSpacing/>
        <w:jc w:val="both"/>
        <w:rPr>
          <w:rFonts w:ascii="Palatino Linotype" w:eastAsia="Times New Roman" w:hAnsi="Palatino Linotype" w:cs="Arial"/>
          <w:sz w:val="24"/>
          <w:szCs w:val="24"/>
          <w:lang w:val="es-ES" w:eastAsia="es-ES"/>
        </w:rPr>
      </w:pPr>
      <w:r w:rsidRPr="00B50274">
        <w:rPr>
          <w:rFonts w:ascii="Palatino Linotype" w:eastAsia="Times New Roman" w:hAnsi="Palatino Linotype" w:cs="Arial"/>
          <w:sz w:val="24"/>
          <w:szCs w:val="24"/>
          <w:lang w:val="es-ES" w:eastAsia="es-ES"/>
        </w:rPr>
        <w:t xml:space="preserve">Anexando </w:t>
      </w:r>
      <w:r w:rsidR="00C4473A" w:rsidRPr="00B50274">
        <w:rPr>
          <w:rFonts w:ascii="Palatino Linotype" w:eastAsia="Times New Roman" w:hAnsi="Palatino Linotype" w:cs="Arial"/>
          <w:sz w:val="24"/>
          <w:szCs w:val="24"/>
          <w:lang w:val="es-ES" w:eastAsia="es-ES"/>
        </w:rPr>
        <w:t>los</w:t>
      </w:r>
      <w:r w:rsidRPr="00B50274">
        <w:rPr>
          <w:rFonts w:ascii="Palatino Linotype" w:eastAsia="Times New Roman" w:hAnsi="Palatino Linotype" w:cs="Arial"/>
          <w:sz w:val="24"/>
          <w:szCs w:val="24"/>
          <w:lang w:val="es-ES" w:eastAsia="es-ES"/>
        </w:rPr>
        <w:t xml:space="preserve"> documento</w:t>
      </w:r>
      <w:r w:rsidR="00C4473A" w:rsidRPr="00B50274">
        <w:rPr>
          <w:rFonts w:ascii="Palatino Linotype" w:eastAsia="Times New Roman" w:hAnsi="Palatino Linotype" w:cs="Arial"/>
          <w:sz w:val="24"/>
          <w:szCs w:val="24"/>
          <w:lang w:val="es-ES" w:eastAsia="es-ES"/>
        </w:rPr>
        <w:t>s</w:t>
      </w:r>
      <w:r w:rsidRPr="00B50274">
        <w:rPr>
          <w:rFonts w:ascii="Palatino Linotype" w:eastAsia="Times New Roman" w:hAnsi="Palatino Linotype" w:cs="Arial"/>
          <w:sz w:val="24"/>
          <w:szCs w:val="24"/>
          <w:lang w:val="es-ES" w:eastAsia="es-ES"/>
        </w:rPr>
        <w:t xml:space="preserve"> denominado</w:t>
      </w:r>
      <w:r w:rsidR="00C4473A" w:rsidRPr="00B50274">
        <w:rPr>
          <w:rFonts w:ascii="Palatino Linotype" w:eastAsia="Times New Roman" w:hAnsi="Palatino Linotype" w:cs="Arial"/>
          <w:sz w:val="24"/>
          <w:szCs w:val="24"/>
          <w:lang w:val="es-ES" w:eastAsia="es-ES"/>
        </w:rPr>
        <w:t>s</w:t>
      </w:r>
      <w:r w:rsidRPr="00B50274">
        <w:rPr>
          <w:rFonts w:ascii="Palatino Linotype" w:eastAsia="Times New Roman" w:hAnsi="Palatino Linotype" w:cs="Arial"/>
          <w:sz w:val="24"/>
          <w:szCs w:val="24"/>
          <w:lang w:val="es-ES" w:eastAsia="es-ES"/>
        </w:rPr>
        <w:t xml:space="preserve">: </w:t>
      </w:r>
      <w:hyperlink r:id="rId8" w:tgtFrame="_blank" w:history="1">
        <w:r w:rsidR="00C4473A" w:rsidRPr="00B50274">
          <w:rPr>
            <w:rFonts w:ascii="Palatino Linotype" w:eastAsia="Times New Roman" w:hAnsi="Palatino Linotype"/>
            <w:i/>
            <w:sz w:val="24"/>
            <w:szCs w:val="24"/>
            <w:lang w:val="es-ES" w:eastAsia="es-ES"/>
          </w:rPr>
          <w:t>Acta de la 2a Sesión ordinaria del CT 2018.pdf</w:t>
        </w:r>
      </w:hyperlink>
      <w:r w:rsidR="00C4473A" w:rsidRPr="00B50274">
        <w:rPr>
          <w:rFonts w:ascii="Palatino Linotype" w:eastAsia="Times New Roman" w:hAnsi="Palatino Linotype" w:cs="Arial"/>
          <w:i/>
          <w:sz w:val="24"/>
          <w:szCs w:val="24"/>
          <w:lang w:val="es-ES" w:eastAsia="es-ES"/>
        </w:rPr>
        <w:t xml:space="preserve">, </w:t>
      </w:r>
      <w:hyperlink r:id="rId9" w:tgtFrame="_blank" w:history="1">
        <w:r w:rsidR="00C4473A" w:rsidRPr="00B50274">
          <w:rPr>
            <w:rFonts w:ascii="Palatino Linotype" w:eastAsia="Times New Roman" w:hAnsi="Palatino Linotype"/>
            <w:i/>
            <w:sz w:val="24"/>
            <w:szCs w:val="24"/>
            <w:lang w:val="es-ES" w:eastAsia="es-ES"/>
          </w:rPr>
          <w:t>0218-PLEGISLA-IP-2018.pdf</w:t>
        </w:r>
      </w:hyperlink>
      <w:r w:rsidR="00C4473A" w:rsidRPr="00B50274">
        <w:rPr>
          <w:rFonts w:ascii="Palatino Linotype" w:eastAsia="Times New Roman" w:hAnsi="Palatino Linotype" w:cs="Arial"/>
          <w:i/>
          <w:sz w:val="24"/>
          <w:szCs w:val="24"/>
          <w:lang w:val="es-ES" w:eastAsia="es-ES"/>
        </w:rPr>
        <w:t xml:space="preserve">, </w:t>
      </w:r>
      <w:hyperlink r:id="rId10" w:tgtFrame="_blank" w:history="1">
        <w:r w:rsidR="00C4473A" w:rsidRPr="00B50274">
          <w:rPr>
            <w:rFonts w:ascii="Palatino Linotype" w:eastAsia="Times New Roman" w:hAnsi="Palatino Linotype"/>
            <w:i/>
            <w:sz w:val="24"/>
            <w:szCs w:val="24"/>
            <w:lang w:val="es-ES" w:eastAsia="es-ES"/>
          </w:rPr>
          <w:t>218 Respuesta osf.pdf</w:t>
        </w:r>
      </w:hyperlink>
      <w:r w:rsidR="00C4473A" w:rsidRPr="00B50274">
        <w:rPr>
          <w:rFonts w:ascii="Palatino Linotype" w:eastAsia="Times New Roman" w:hAnsi="Palatino Linotype" w:cs="Arial"/>
          <w:sz w:val="24"/>
          <w:szCs w:val="24"/>
          <w:lang w:val="es-ES" w:eastAsia="es-ES"/>
        </w:rPr>
        <w:t xml:space="preserve"> mismos que medularmente señalan:</w:t>
      </w:r>
    </w:p>
    <w:p w:rsidR="00591045" w:rsidRPr="00B50274" w:rsidRDefault="001B04F5" w:rsidP="00C9293D">
      <w:pPr>
        <w:pStyle w:val="Prrafodelista"/>
        <w:numPr>
          <w:ilvl w:val="0"/>
          <w:numId w:val="1"/>
        </w:numPr>
        <w:spacing w:after="0" w:line="276" w:lineRule="auto"/>
        <w:ind w:right="34"/>
        <w:jc w:val="both"/>
        <w:rPr>
          <w:rFonts w:ascii="Palatino Linotype" w:eastAsia="Times New Roman" w:hAnsi="Palatino Linotype" w:cs="Arial"/>
          <w:sz w:val="24"/>
          <w:szCs w:val="24"/>
          <w:lang w:val="es-ES" w:eastAsia="es-ES"/>
        </w:rPr>
      </w:pPr>
      <w:hyperlink r:id="rId11" w:tgtFrame="_blank" w:history="1">
        <w:r w:rsidR="00591045" w:rsidRPr="00B50274">
          <w:rPr>
            <w:rFonts w:ascii="Palatino Linotype" w:eastAsia="Times New Roman" w:hAnsi="Palatino Linotype" w:cs="Arial"/>
            <w:sz w:val="24"/>
            <w:szCs w:val="24"/>
            <w:lang w:val="es-ES" w:eastAsia="es-ES"/>
          </w:rPr>
          <w:t>Acta de la 2a Sesión ordinaria del CT 2018.pdf</w:t>
        </w:r>
      </w:hyperlink>
      <w:r w:rsidR="00591045" w:rsidRPr="00B50274">
        <w:rPr>
          <w:rFonts w:ascii="Palatino Linotype" w:eastAsia="Times New Roman" w:hAnsi="Palatino Linotype" w:cs="Arial"/>
          <w:sz w:val="24"/>
          <w:szCs w:val="24"/>
          <w:lang w:val="es-ES" w:eastAsia="es-ES"/>
        </w:rPr>
        <w:t xml:space="preserve">: </w:t>
      </w:r>
    </w:p>
    <w:p w:rsidR="00591045" w:rsidRPr="00B50274" w:rsidRDefault="00C9293D" w:rsidP="00C9293D">
      <w:pPr>
        <w:spacing w:after="0" w:line="240" w:lineRule="auto"/>
        <w:ind w:right="34"/>
        <w:contextualSpacing/>
        <w:jc w:val="center"/>
        <w:rPr>
          <w:rFonts w:ascii="Palatino Linotype" w:eastAsia="Times New Roman" w:hAnsi="Palatino Linotype" w:cs="Arial"/>
          <w:sz w:val="24"/>
          <w:szCs w:val="24"/>
          <w:lang w:val="es-ES" w:eastAsia="es-ES"/>
        </w:rPr>
      </w:pPr>
      <w:r w:rsidRPr="00B50274">
        <w:rPr>
          <w:noProof/>
          <w:lang w:eastAsia="es-MX"/>
        </w:rPr>
        <w:lastRenderedPageBreak/>
        <w:drawing>
          <wp:inline distT="0" distB="0" distL="0" distR="0" wp14:anchorId="7913AC6C" wp14:editId="172E534A">
            <wp:extent cx="5005415" cy="1943753"/>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855" t="46804" r="27058" b="20690"/>
                    <a:stretch/>
                  </pic:blipFill>
                  <pic:spPr bwMode="auto">
                    <a:xfrm>
                      <a:off x="0" y="0"/>
                      <a:ext cx="5099382" cy="1980243"/>
                    </a:xfrm>
                    <a:prstGeom prst="rect">
                      <a:avLst/>
                    </a:prstGeom>
                    <a:ln>
                      <a:noFill/>
                    </a:ln>
                    <a:extLst>
                      <a:ext uri="{53640926-AAD7-44D8-BBD7-CCE9431645EC}">
                        <a14:shadowObscured xmlns:a14="http://schemas.microsoft.com/office/drawing/2010/main"/>
                      </a:ext>
                    </a:extLst>
                  </pic:spPr>
                </pic:pic>
              </a:graphicData>
            </a:graphic>
          </wp:inline>
        </w:drawing>
      </w:r>
    </w:p>
    <w:p w:rsidR="00591045" w:rsidRPr="00B50274" w:rsidRDefault="001B04F5" w:rsidP="00C9293D">
      <w:pPr>
        <w:pStyle w:val="Prrafodelista"/>
        <w:numPr>
          <w:ilvl w:val="0"/>
          <w:numId w:val="1"/>
        </w:numPr>
        <w:spacing w:before="240" w:after="0" w:line="360" w:lineRule="auto"/>
        <w:ind w:right="34"/>
        <w:jc w:val="both"/>
        <w:rPr>
          <w:rFonts w:ascii="Palatino Linotype" w:eastAsia="Times New Roman" w:hAnsi="Palatino Linotype" w:cs="Arial"/>
          <w:sz w:val="24"/>
          <w:szCs w:val="24"/>
          <w:lang w:val="es-ES" w:eastAsia="es-ES"/>
        </w:rPr>
      </w:pPr>
      <w:hyperlink r:id="rId13" w:tgtFrame="_blank" w:history="1">
        <w:r w:rsidR="00591045" w:rsidRPr="00B50274">
          <w:rPr>
            <w:rFonts w:ascii="Palatino Linotype" w:eastAsia="Times New Roman" w:hAnsi="Palatino Linotype" w:cs="Arial"/>
            <w:sz w:val="24"/>
            <w:szCs w:val="24"/>
            <w:lang w:val="es-ES" w:eastAsia="es-ES"/>
          </w:rPr>
          <w:t>0218-PLEGISLA-IP-2018.pdf</w:t>
        </w:r>
      </w:hyperlink>
    </w:p>
    <w:p w:rsidR="00C9293D" w:rsidRPr="00B50274" w:rsidRDefault="00C9293D" w:rsidP="00C9293D">
      <w:pPr>
        <w:spacing w:before="240" w:after="0" w:line="360" w:lineRule="auto"/>
        <w:ind w:right="34"/>
        <w:contextualSpacing/>
        <w:jc w:val="center"/>
        <w:rPr>
          <w:rFonts w:ascii="Palatino Linotype" w:eastAsia="Times New Roman" w:hAnsi="Palatino Linotype" w:cs="Arial"/>
          <w:sz w:val="24"/>
          <w:szCs w:val="24"/>
          <w:lang w:val="es-ES" w:eastAsia="es-ES"/>
        </w:rPr>
      </w:pPr>
      <w:r w:rsidRPr="00B50274">
        <w:rPr>
          <w:noProof/>
          <w:lang w:eastAsia="es-MX"/>
        </w:rPr>
        <w:drawing>
          <wp:inline distT="0" distB="0" distL="0" distR="0" wp14:anchorId="045F72CE" wp14:editId="6F9FB7CC">
            <wp:extent cx="5280263" cy="312647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8128" t="35355" r="28681" b="19182"/>
                    <a:stretch/>
                  </pic:blipFill>
                  <pic:spPr bwMode="auto">
                    <a:xfrm>
                      <a:off x="0" y="0"/>
                      <a:ext cx="5311082" cy="3144722"/>
                    </a:xfrm>
                    <a:prstGeom prst="rect">
                      <a:avLst/>
                    </a:prstGeom>
                    <a:ln>
                      <a:noFill/>
                    </a:ln>
                    <a:extLst>
                      <a:ext uri="{53640926-AAD7-44D8-BBD7-CCE9431645EC}">
                        <a14:shadowObscured xmlns:a14="http://schemas.microsoft.com/office/drawing/2010/main"/>
                      </a:ext>
                    </a:extLst>
                  </pic:spPr>
                </pic:pic>
              </a:graphicData>
            </a:graphic>
          </wp:inline>
        </w:drawing>
      </w:r>
    </w:p>
    <w:p w:rsidR="00C9293D" w:rsidRPr="00B50274" w:rsidRDefault="00C9293D" w:rsidP="00C9293D">
      <w:pPr>
        <w:spacing w:after="0" w:line="360" w:lineRule="auto"/>
        <w:ind w:right="34"/>
        <w:contextualSpacing/>
        <w:jc w:val="center"/>
        <w:rPr>
          <w:rFonts w:ascii="Palatino Linotype" w:eastAsia="Times New Roman" w:hAnsi="Palatino Linotype" w:cs="Arial"/>
          <w:sz w:val="24"/>
          <w:szCs w:val="24"/>
          <w:lang w:val="es-ES" w:eastAsia="es-ES"/>
        </w:rPr>
      </w:pPr>
    </w:p>
    <w:p w:rsidR="00C4473A" w:rsidRPr="00B50274" w:rsidRDefault="00591045" w:rsidP="00C9293D">
      <w:pPr>
        <w:pStyle w:val="Prrafodelista"/>
        <w:numPr>
          <w:ilvl w:val="0"/>
          <w:numId w:val="1"/>
        </w:numPr>
        <w:spacing w:before="240" w:after="0" w:line="360" w:lineRule="auto"/>
        <w:ind w:right="34"/>
        <w:jc w:val="both"/>
        <w:rPr>
          <w:rFonts w:ascii="Palatino Linotype" w:eastAsia="Times New Roman" w:hAnsi="Palatino Linotype" w:cs="Arial"/>
          <w:sz w:val="24"/>
          <w:szCs w:val="24"/>
          <w:lang w:val="es-ES" w:eastAsia="es-ES"/>
        </w:rPr>
      </w:pPr>
      <w:r w:rsidRPr="00B50274">
        <w:rPr>
          <w:rFonts w:ascii="Palatino Linotype" w:eastAsia="Times New Roman" w:hAnsi="Palatino Linotype" w:cs="Arial"/>
          <w:sz w:val="24"/>
          <w:szCs w:val="24"/>
          <w:lang w:val="es-ES" w:eastAsia="es-ES"/>
        </w:rPr>
        <w:t xml:space="preserve"> </w:t>
      </w:r>
      <w:hyperlink r:id="rId15" w:tgtFrame="_blank" w:history="1">
        <w:r w:rsidRPr="00B50274">
          <w:rPr>
            <w:rFonts w:ascii="Palatino Linotype" w:eastAsia="Times New Roman" w:hAnsi="Palatino Linotype" w:cs="Arial"/>
            <w:sz w:val="24"/>
            <w:szCs w:val="24"/>
            <w:lang w:val="es-ES" w:eastAsia="es-ES"/>
          </w:rPr>
          <w:t>218 Respuesta osf.pdf</w:t>
        </w:r>
      </w:hyperlink>
    </w:p>
    <w:p w:rsidR="00C9293D" w:rsidRPr="00B50274" w:rsidRDefault="00C9293D" w:rsidP="00C9293D">
      <w:pPr>
        <w:spacing w:after="0" w:line="240" w:lineRule="auto"/>
        <w:ind w:right="34"/>
        <w:contextualSpacing/>
        <w:jc w:val="center"/>
        <w:rPr>
          <w:rFonts w:ascii="Palatino Linotype" w:eastAsia="Times New Roman" w:hAnsi="Palatino Linotype" w:cs="Arial"/>
          <w:sz w:val="24"/>
          <w:szCs w:val="24"/>
          <w:lang w:val="es-ES" w:eastAsia="es-ES"/>
        </w:rPr>
      </w:pPr>
      <w:r w:rsidRPr="00B50274">
        <w:rPr>
          <w:noProof/>
          <w:lang w:eastAsia="es-MX"/>
        </w:rPr>
        <w:lastRenderedPageBreak/>
        <w:drawing>
          <wp:inline distT="0" distB="0" distL="0" distR="0" wp14:anchorId="220BE6C0" wp14:editId="5420A7BC">
            <wp:extent cx="5169267" cy="286580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7181" t="38049" r="27537" b="17323"/>
                    <a:stretch/>
                  </pic:blipFill>
                  <pic:spPr bwMode="auto">
                    <a:xfrm>
                      <a:off x="0" y="0"/>
                      <a:ext cx="5209500" cy="2888113"/>
                    </a:xfrm>
                    <a:prstGeom prst="rect">
                      <a:avLst/>
                    </a:prstGeom>
                    <a:ln>
                      <a:noFill/>
                    </a:ln>
                    <a:extLst>
                      <a:ext uri="{53640926-AAD7-44D8-BBD7-CCE9431645EC}">
                        <a14:shadowObscured xmlns:a14="http://schemas.microsoft.com/office/drawing/2010/main"/>
                      </a:ext>
                    </a:extLst>
                  </pic:spPr>
                </pic:pic>
              </a:graphicData>
            </a:graphic>
          </wp:inline>
        </w:drawing>
      </w:r>
    </w:p>
    <w:p w:rsidR="00D67342" w:rsidRPr="00B50274" w:rsidRDefault="00D67342" w:rsidP="00D67342">
      <w:pPr>
        <w:numPr>
          <w:ilvl w:val="0"/>
          <w:numId w:val="2"/>
        </w:numPr>
        <w:spacing w:after="0" w:line="360" w:lineRule="auto"/>
        <w:ind w:left="426" w:hanging="426"/>
        <w:contextualSpacing/>
        <w:jc w:val="both"/>
        <w:rPr>
          <w:rFonts w:ascii="Palatino Linotype" w:eastAsia="MS Mincho" w:hAnsi="Palatino Linotype" w:cs="Arial"/>
          <w:i/>
          <w:lang w:val="es-ES_tradnl" w:eastAsia="es-ES"/>
        </w:rPr>
      </w:pPr>
      <w:r w:rsidRPr="00B50274">
        <w:rPr>
          <w:rFonts w:ascii="Palatino Linotype" w:eastAsia="Times New Roman" w:hAnsi="Palatino Linotype" w:cs="Arial"/>
          <w:sz w:val="24"/>
          <w:szCs w:val="24"/>
          <w:lang w:val="es-ES" w:eastAsia="es-ES"/>
        </w:rPr>
        <w:t xml:space="preserve">En fecha </w:t>
      </w:r>
      <w:r w:rsidR="00C9293D" w:rsidRPr="00B50274">
        <w:rPr>
          <w:rFonts w:ascii="Palatino Linotype" w:eastAsia="Times New Roman" w:hAnsi="Palatino Linotype" w:cs="Arial"/>
          <w:sz w:val="24"/>
          <w:szCs w:val="24"/>
          <w:lang w:val="es-ES" w:eastAsia="es-ES"/>
        </w:rPr>
        <w:t>ocho (08) de julio</w:t>
      </w:r>
      <w:r w:rsidRPr="00B50274">
        <w:rPr>
          <w:rFonts w:ascii="Palatino Linotype" w:eastAsia="Times New Roman" w:hAnsi="Palatino Linotype" w:cs="Arial"/>
          <w:sz w:val="24"/>
          <w:szCs w:val="24"/>
          <w:lang w:val="es-ES" w:eastAsia="es-ES"/>
        </w:rPr>
        <w:t xml:space="preserve"> de dos mil dieciocho, estando en tiempo y forma, se interpuso el recurso de revisión que al rubro se indica, en contra de la falta de respuesta, señalándose lo siguiente:</w:t>
      </w:r>
    </w:p>
    <w:p w:rsidR="00D67342" w:rsidRPr="00B50274" w:rsidRDefault="00D67342" w:rsidP="00D67342">
      <w:pPr>
        <w:spacing w:after="0" w:line="360" w:lineRule="auto"/>
        <w:ind w:left="426"/>
        <w:contextualSpacing/>
        <w:jc w:val="both"/>
        <w:rPr>
          <w:rFonts w:ascii="Palatino Linotype" w:eastAsia="MS Mincho" w:hAnsi="Palatino Linotype" w:cs="Arial"/>
          <w:b/>
          <w:bCs/>
          <w:sz w:val="24"/>
          <w:szCs w:val="24"/>
          <w:lang w:val="es-ES_tradnl" w:eastAsia="es-ES"/>
        </w:rPr>
      </w:pPr>
    </w:p>
    <w:p w:rsidR="00D67342" w:rsidRPr="00B50274" w:rsidRDefault="00D67342" w:rsidP="00A544C5">
      <w:pPr>
        <w:numPr>
          <w:ilvl w:val="0"/>
          <w:numId w:val="3"/>
        </w:numPr>
        <w:spacing w:after="0" w:line="360" w:lineRule="auto"/>
        <w:ind w:right="567"/>
        <w:contextualSpacing/>
        <w:jc w:val="both"/>
        <w:rPr>
          <w:rFonts w:ascii="Palatino Linotype" w:eastAsia="MS Mincho" w:hAnsi="Palatino Linotype" w:cs="Times New Roman"/>
          <w:i/>
          <w:lang w:val="es-ES_tradnl" w:eastAsia="es-ES"/>
        </w:rPr>
      </w:pPr>
      <w:r w:rsidRPr="00B50274">
        <w:rPr>
          <w:rFonts w:ascii="Palatino Linotype" w:eastAsia="MS Gothic" w:hAnsi="Palatino Linotype" w:cs="Times New Roman"/>
          <w:b/>
          <w:sz w:val="24"/>
          <w:szCs w:val="26"/>
          <w:lang w:val="es-ES"/>
        </w:rPr>
        <w:t>Acto impugnado</w:t>
      </w:r>
      <w:r w:rsidRPr="00B50274">
        <w:rPr>
          <w:rFonts w:ascii="Palatino Linotype" w:eastAsia="MS Mincho" w:hAnsi="Palatino Linotype" w:cs="Times New Roman"/>
          <w:i/>
          <w:lang w:val="es-ES_tradnl" w:eastAsia="es-ES"/>
        </w:rPr>
        <w:t>: “</w:t>
      </w:r>
      <w:r w:rsidR="00A544C5" w:rsidRPr="00B50274">
        <w:rPr>
          <w:rFonts w:ascii="Palatino Linotype" w:eastAsia="MS Mincho" w:hAnsi="Palatino Linotype" w:cs="Times New Roman"/>
          <w:i/>
          <w:lang w:eastAsia="es-ES"/>
        </w:rPr>
        <w:t>Respuesta emitida por el Sujeto Obligado</w:t>
      </w:r>
      <w:r w:rsidRPr="00B50274">
        <w:rPr>
          <w:rFonts w:ascii="Palatino Linotype" w:eastAsia="MS Mincho" w:hAnsi="Palatino Linotype" w:cs="Times New Roman"/>
          <w:i/>
          <w:lang w:eastAsia="es-ES"/>
        </w:rPr>
        <w:t>.</w:t>
      </w:r>
      <w:r w:rsidRPr="00B50274">
        <w:rPr>
          <w:rFonts w:ascii="Palatino Linotype" w:eastAsia="MS Mincho" w:hAnsi="Palatino Linotype" w:cs="Times New Roman"/>
          <w:i/>
          <w:lang w:val="es-ES_tradnl" w:eastAsia="es-ES"/>
        </w:rPr>
        <w:t>”(Sic)</w:t>
      </w:r>
    </w:p>
    <w:p w:rsidR="00D67342" w:rsidRPr="00B50274" w:rsidRDefault="00D67342" w:rsidP="00A544C5">
      <w:pPr>
        <w:numPr>
          <w:ilvl w:val="0"/>
          <w:numId w:val="3"/>
        </w:numPr>
        <w:spacing w:after="0" w:line="360" w:lineRule="auto"/>
        <w:ind w:right="567"/>
        <w:contextualSpacing/>
        <w:jc w:val="both"/>
        <w:rPr>
          <w:rFonts w:ascii="Palatino Linotype" w:eastAsia="MS Mincho" w:hAnsi="Palatino Linotype" w:cs="Times New Roman"/>
          <w:i/>
          <w:lang w:val="es-ES_tradnl" w:eastAsia="es-ES"/>
        </w:rPr>
      </w:pPr>
      <w:r w:rsidRPr="00B50274">
        <w:rPr>
          <w:rFonts w:ascii="Palatino Linotype" w:eastAsia="MS Gothic" w:hAnsi="Palatino Linotype" w:cs="Times New Roman"/>
          <w:b/>
          <w:sz w:val="24"/>
          <w:szCs w:val="26"/>
          <w:lang w:val="es-ES"/>
        </w:rPr>
        <w:t>Razones o Motivos de inconformidad</w:t>
      </w:r>
      <w:r w:rsidRPr="00B50274">
        <w:rPr>
          <w:rFonts w:ascii="Palatino Linotype" w:eastAsia="MS Mincho" w:hAnsi="Palatino Linotype" w:cs="Times New Roman"/>
          <w:i/>
          <w:lang w:val="es-ES_tradnl" w:eastAsia="es-ES"/>
        </w:rPr>
        <w:t>: “</w:t>
      </w:r>
      <w:r w:rsidR="00A544C5" w:rsidRPr="00B50274">
        <w:rPr>
          <w:rFonts w:ascii="Palatino Linotype" w:eastAsia="MS Mincho" w:hAnsi="Palatino Linotype" w:cs="Times New Roman"/>
          <w:i/>
          <w:lang w:eastAsia="es-ES"/>
        </w:rPr>
        <w:t xml:space="preserve">No se me hizo entrega de la información vía SAIMEX, fundamentando que tengo que hacer previo pago para que me sea entregada. </w:t>
      </w:r>
      <w:r w:rsidRPr="00B50274">
        <w:rPr>
          <w:rFonts w:ascii="Palatino Linotype" w:eastAsia="MS Mincho" w:hAnsi="Palatino Linotype" w:cs="Times New Roman"/>
          <w:i/>
          <w:lang w:val="es-ES_tradnl" w:eastAsia="es-ES"/>
        </w:rPr>
        <w:t>“ (Sic)</w:t>
      </w:r>
    </w:p>
    <w:p w:rsidR="00A544C5" w:rsidRPr="00B50274" w:rsidRDefault="00A544C5" w:rsidP="00A544C5">
      <w:pPr>
        <w:spacing w:after="0" w:line="240" w:lineRule="auto"/>
        <w:ind w:left="1080" w:right="567"/>
        <w:contextualSpacing/>
        <w:jc w:val="both"/>
        <w:rPr>
          <w:rFonts w:ascii="Palatino Linotype" w:eastAsia="MS Mincho" w:hAnsi="Palatino Linotype" w:cs="Times New Roman"/>
          <w:i/>
          <w:lang w:val="es-ES_tradnl" w:eastAsia="es-ES"/>
        </w:rPr>
      </w:pPr>
    </w:p>
    <w:p w:rsidR="00D67342" w:rsidRPr="00B50274" w:rsidRDefault="00D67342" w:rsidP="00D67342">
      <w:pPr>
        <w:numPr>
          <w:ilvl w:val="0"/>
          <w:numId w:val="2"/>
        </w:numPr>
        <w:spacing w:before="240" w:after="240" w:line="360" w:lineRule="auto"/>
        <w:ind w:left="426" w:hanging="426"/>
        <w:contextualSpacing/>
        <w:jc w:val="both"/>
        <w:rPr>
          <w:rFonts w:ascii="Palatino Linotype" w:eastAsia="Times New Roman" w:hAnsi="Palatino Linotype" w:cs="Arial"/>
          <w:i/>
          <w:lang w:val="es-ES_tradnl" w:eastAsia="es-ES"/>
        </w:rPr>
      </w:pPr>
      <w:r w:rsidRPr="00B50274">
        <w:rPr>
          <w:rFonts w:ascii="Palatino Linotype" w:eastAsia="Times New Roman" w:hAnsi="Palatino Linotype" w:cs="Arial"/>
          <w:sz w:val="24"/>
          <w:szCs w:val="24"/>
          <w:lang w:val="es-ES" w:eastAsia="es-ES"/>
        </w:rPr>
        <w:t xml:space="preserve">Se registró el recurso de revisión bajo el número de expediente al rubro indicado, </w:t>
      </w:r>
      <w:r w:rsidRPr="00B50274">
        <w:rPr>
          <w:rFonts w:ascii="Palatino Linotype" w:eastAsia="MS Mincho" w:hAnsi="Palatino Linotype" w:cs="Arial"/>
          <w:bCs/>
          <w:sz w:val="24"/>
          <w:szCs w:val="24"/>
          <w:lang w:val="es-ES_tradnl" w:eastAsia="es-ES"/>
        </w:rPr>
        <w:t xml:space="preserve">con fundamento en lo dispuesto por el </w:t>
      </w:r>
      <w:r w:rsidRPr="00B50274">
        <w:rPr>
          <w:rFonts w:ascii="Palatino Linotype" w:eastAsia="Calibri" w:hAnsi="Palatino Linotype" w:cs="Arial"/>
          <w:sz w:val="24"/>
          <w:szCs w:val="24"/>
          <w:lang w:val="es-ES" w:eastAsia="es-ES"/>
        </w:rPr>
        <w:t xml:space="preserve">artículo 185 fracción I de la </w:t>
      </w:r>
      <w:r w:rsidRPr="00B50274">
        <w:rPr>
          <w:rFonts w:ascii="Palatino Linotype" w:eastAsia="Calibri" w:hAnsi="Palatino Linotype" w:cs="Arial"/>
          <w:b/>
          <w:sz w:val="24"/>
          <w:szCs w:val="24"/>
          <w:lang w:val="es-ES" w:eastAsia="es-ES"/>
        </w:rPr>
        <w:t xml:space="preserve">Ley de Transparencia y Acceso a la Información Pública del Estado de México y Municipios </w:t>
      </w:r>
      <w:r w:rsidRPr="00B50274">
        <w:rPr>
          <w:rFonts w:ascii="Palatino Linotype" w:eastAsia="Times New Roman" w:hAnsi="Palatino Linotype" w:cs="Arial"/>
          <w:sz w:val="24"/>
          <w:szCs w:val="24"/>
          <w:lang w:val="es-ES" w:eastAsia="es-ES"/>
        </w:rPr>
        <w:t xml:space="preserve">se turnó al </w:t>
      </w:r>
      <w:r w:rsidRPr="00B50274">
        <w:rPr>
          <w:rFonts w:ascii="Palatino Linotype" w:eastAsia="Times New Roman" w:hAnsi="Palatino Linotype" w:cs="Arial"/>
          <w:b/>
          <w:sz w:val="24"/>
          <w:szCs w:val="24"/>
          <w:lang w:val="es-ES" w:eastAsia="es-ES"/>
        </w:rPr>
        <w:t xml:space="preserve">Comisionado José Guadalupe Luna Hernández, </w:t>
      </w:r>
      <w:r w:rsidRPr="00B50274">
        <w:rPr>
          <w:rFonts w:ascii="Palatino Linotype" w:eastAsia="Times New Roman" w:hAnsi="Palatino Linotype" w:cs="Arial"/>
          <w:sz w:val="24"/>
          <w:szCs w:val="24"/>
          <w:lang w:val="es-ES" w:eastAsia="es-ES"/>
        </w:rPr>
        <w:t xml:space="preserve">con el objeto de </w:t>
      </w:r>
      <w:r w:rsidRPr="00B50274">
        <w:rPr>
          <w:rFonts w:ascii="Palatino Linotype" w:eastAsia="Times New Roman" w:hAnsi="Palatino Linotype" w:cs="Arial"/>
          <w:sz w:val="24"/>
          <w:szCs w:val="24"/>
          <w:lang w:eastAsia="es-ES"/>
        </w:rPr>
        <w:t>su análisis</w:t>
      </w:r>
      <w:r w:rsidRPr="00B50274">
        <w:rPr>
          <w:rFonts w:ascii="Palatino Linotype" w:eastAsia="Times New Roman" w:hAnsi="Palatino Linotype" w:cs="Arial"/>
        </w:rPr>
        <w:t xml:space="preserve">. </w:t>
      </w:r>
    </w:p>
    <w:p w:rsidR="00D67342" w:rsidRPr="00B50274" w:rsidRDefault="00D67342" w:rsidP="00D67342">
      <w:pPr>
        <w:spacing w:before="240" w:after="240" w:line="360" w:lineRule="auto"/>
        <w:ind w:left="426"/>
        <w:contextualSpacing/>
        <w:jc w:val="both"/>
        <w:rPr>
          <w:rFonts w:ascii="Palatino Linotype" w:eastAsia="Times New Roman" w:hAnsi="Palatino Linotype" w:cs="Arial"/>
          <w:i/>
          <w:lang w:val="es-ES_tradnl" w:eastAsia="es-ES"/>
        </w:rPr>
      </w:pPr>
    </w:p>
    <w:p w:rsidR="00D67342" w:rsidRPr="00B50274" w:rsidRDefault="00D67342" w:rsidP="00D67342">
      <w:pPr>
        <w:numPr>
          <w:ilvl w:val="0"/>
          <w:numId w:val="2"/>
        </w:numPr>
        <w:spacing w:after="0" w:line="360" w:lineRule="auto"/>
        <w:ind w:left="426" w:hanging="426"/>
        <w:contextualSpacing/>
        <w:jc w:val="both"/>
        <w:rPr>
          <w:rFonts w:ascii="Palatino Linotype" w:eastAsia="Calibri" w:hAnsi="Palatino Linotype" w:cs="Arial"/>
          <w:sz w:val="24"/>
          <w:szCs w:val="24"/>
          <w:lang w:val="es-ES" w:eastAsia="es-ES"/>
        </w:rPr>
      </w:pPr>
      <w:r w:rsidRPr="00B50274">
        <w:rPr>
          <w:rFonts w:ascii="Palatino Linotype" w:eastAsia="Calibri" w:hAnsi="Palatino Linotype" w:cs="Arial"/>
          <w:sz w:val="24"/>
          <w:szCs w:val="24"/>
          <w:lang w:val="es-ES" w:eastAsia="es-ES"/>
        </w:rPr>
        <w:lastRenderedPageBreak/>
        <w:t xml:space="preserve">El Comisionado Ponente con fundamento en lo dispuesto por el artículo 185 fracción II de la ley de la materia, a través del acuerdo de admisión de fecha </w:t>
      </w:r>
      <w:r w:rsidR="00A544C5" w:rsidRPr="00B50274">
        <w:rPr>
          <w:rFonts w:ascii="Palatino Linotype" w:eastAsia="Calibri" w:hAnsi="Palatino Linotype" w:cs="Arial"/>
          <w:sz w:val="24"/>
          <w:szCs w:val="24"/>
          <w:lang w:val="es-ES" w:eastAsia="es-ES"/>
        </w:rPr>
        <w:t>catorce (14) de junio</w:t>
      </w:r>
      <w:r w:rsidRPr="00B50274">
        <w:rPr>
          <w:rFonts w:ascii="Palatino Linotype" w:eastAsia="Calibri" w:hAnsi="Palatino Linotype" w:cs="Arial"/>
          <w:sz w:val="24"/>
          <w:szCs w:val="24"/>
          <w:lang w:val="es-ES" w:eastAsia="es-ES"/>
        </w:rPr>
        <w:t xml:space="preserve"> de dos mil dieciocho, puso a disposición de las partes el expediente electrónico </w:t>
      </w:r>
      <w:r w:rsidRPr="00B50274">
        <w:rPr>
          <w:rFonts w:ascii="Palatino Linotype" w:eastAsia="Calibri" w:hAnsi="Palatino Linotype" w:cs="Arial"/>
          <w:sz w:val="24"/>
          <w:szCs w:val="24"/>
          <w:lang w:val="es-ES_tradnl" w:eastAsia="es-ES"/>
        </w:rPr>
        <w:t xml:space="preserve">vía </w:t>
      </w:r>
      <w:r w:rsidRPr="00B50274">
        <w:rPr>
          <w:rFonts w:ascii="Palatino Linotype" w:eastAsia="Calibri" w:hAnsi="Palatino Linotype" w:cs="Arial"/>
          <w:sz w:val="24"/>
          <w:szCs w:val="24"/>
          <w:lang w:val="es-ES" w:eastAsia="es-ES"/>
        </w:rPr>
        <w:t>Sistema de Acceso a la Información Mexiquense (</w:t>
      </w:r>
      <w:r w:rsidRPr="00B50274">
        <w:rPr>
          <w:rFonts w:ascii="Palatino Linotype" w:eastAsia="Calibri" w:hAnsi="Palatino Linotype" w:cs="Arial"/>
          <w:b/>
          <w:sz w:val="24"/>
          <w:szCs w:val="24"/>
          <w:lang w:val="es-ES" w:eastAsia="es-ES"/>
        </w:rPr>
        <w:t xml:space="preserve">SAIMEX) </w:t>
      </w:r>
      <w:r w:rsidRPr="00B50274">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B50274">
        <w:rPr>
          <w:rFonts w:ascii="Palatino Linotype" w:eastAsia="Calibri" w:hAnsi="Palatino Linotype" w:cs="Arial"/>
          <w:b/>
          <w:sz w:val="24"/>
          <w:szCs w:val="24"/>
          <w:lang w:val="es-ES" w:eastAsia="es-ES"/>
        </w:rPr>
        <w:t>SUJETO OBLIGADO</w:t>
      </w:r>
      <w:r w:rsidRPr="00B50274">
        <w:rPr>
          <w:rFonts w:ascii="Palatino Linotype" w:eastAsia="Calibri" w:hAnsi="Palatino Linotype" w:cs="Arial"/>
          <w:sz w:val="24"/>
          <w:szCs w:val="24"/>
          <w:lang w:val="es-ES" w:eastAsia="es-ES"/>
        </w:rPr>
        <w:t xml:space="preserve"> presentará el Informe Justificado procedente</w:t>
      </w:r>
      <w:r w:rsidR="00A544C5" w:rsidRPr="00B50274">
        <w:rPr>
          <w:rFonts w:ascii="Palatino Linotype" w:eastAsia="Calibri" w:hAnsi="Palatino Linotype" w:cs="Arial"/>
          <w:sz w:val="24"/>
          <w:szCs w:val="24"/>
          <w:lang w:val="es-ES" w:eastAsia="es-ES"/>
        </w:rPr>
        <w:t>.</w:t>
      </w:r>
    </w:p>
    <w:p w:rsidR="00A544C5" w:rsidRPr="00B50274" w:rsidRDefault="00A544C5" w:rsidP="00A544C5">
      <w:pPr>
        <w:pStyle w:val="Prrafodelista"/>
        <w:rPr>
          <w:rFonts w:ascii="Palatino Linotype" w:eastAsia="Calibri" w:hAnsi="Palatino Linotype" w:cs="Arial"/>
          <w:sz w:val="24"/>
          <w:szCs w:val="24"/>
          <w:lang w:val="es-ES" w:eastAsia="es-ES"/>
        </w:rPr>
      </w:pPr>
    </w:p>
    <w:p w:rsidR="00685B29" w:rsidRPr="00B50274" w:rsidRDefault="00685B29" w:rsidP="00685B29">
      <w:pPr>
        <w:pStyle w:val="Prrafodelista"/>
        <w:numPr>
          <w:ilvl w:val="0"/>
          <w:numId w:val="2"/>
        </w:numPr>
        <w:spacing w:before="240" w:after="240" w:line="360" w:lineRule="auto"/>
        <w:ind w:left="284" w:hanging="284"/>
        <w:jc w:val="both"/>
        <w:rPr>
          <w:rFonts w:ascii="Palatino Linotype" w:hAnsi="Palatino Linotype"/>
          <w:sz w:val="24"/>
          <w:szCs w:val="24"/>
        </w:rPr>
      </w:pPr>
      <w:r w:rsidRPr="00B50274">
        <w:rPr>
          <w:rFonts w:ascii="Palatino Linotype" w:hAnsi="Palatino Linotype"/>
          <w:sz w:val="24"/>
          <w:szCs w:val="24"/>
        </w:rPr>
        <w:t xml:space="preserve">El días veintiséis (26) de junio de dos mil dieciocho, el SUJETO OBLIGADO presentó su informe justificado, el cual, se puso a la vista de la ahora RECURRENTE el día veintiocho (28) de junio de dos mil dieciocho, documentos que serán materia de análisis en la presente resolución. </w:t>
      </w:r>
    </w:p>
    <w:p w:rsidR="000E182A" w:rsidRPr="00B50274" w:rsidRDefault="000E182A" w:rsidP="000E182A">
      <w:pPr>
        <w:pStyle w:val="Prrafodelista"/>
        <w:spacing w:before="240" w:after="240" w:line="360" w:lineRule="auto"/>
        <w:ind w:left="284"/>
        <w:jc w:val="both"/>
        <w:rPr>
          <w:rFonts w:ascii="Palatino Linotype" w:hAnsi="Palatino Linotype"/>
          <w:sz w:val="24"/>
          <w:szCs w:val="24"/>
        </w:rPr>
      </w:pPr>
    </w:p>
    <w:p w:rsidR="00D67342" w:rsidRPr="00B50274" w:rsidRDefault="00D67342" w:rsidP="00D67342">
      <w:pPr>
        <w:pStyle w:val="Prrafodelista"/>
        <w:numPr>
          <w:ilvl w:val="0"/>
          <w:numId w:val="2"/>
        </w:numPr>
        <w:spacing w:before="240" w:after="240" w:line="360" w:lineRule="auto"/>
        <w:ind w:left="284" w:hanging="284"/>
        <w:jc w:val="both"/>
        <w:rPr>
          <w:rFonts w:ascii="Palatino Linotype" w:hAnsi="Palatino Linotype"/>
          <w:sz w:val="24"/>
          <w:szCs w:val="24"/>
        </w:rPr>
      </w:pPr>
      <w:r w:rsidRPr="00B50274">
        <w:rPr>
          <w:rFonts w:ascii="Palatino Linotype" w:hAnsi="Palatino Linotype"/>
          <w:sz w:val="24"/>
          <w:szCs w:val="24"/>
        </w:rPr>
        <w:t>El Comisionado Ponente decretó el cierre de instrucción</w:t>
      </w:r>
      <w:r w:rsidRPr="00B50274">
        <w:rPr>
          <w:rFonts w:ascii="Palatino Linotype" w:hAnsi="Palatino Linotype" w:cs="Arial"/>
          <w:sz w:val="24"/>
          <w:szCs w:val="24"/>
        </w:rPr>
        <w:t xml:space="preserve"> </w:t>
      </w:r>
      <w:r w:rsidRPr="00B50274">
        <w:rPr>
          <w:rFonts w:ascii="Palatino Linotype" w:hAnsi="Palatino Linotype"/>
          <w:sz w:val="24"/>
          <w:szCs w:val="24"/>
        </w:rPr>
        <w:t xml:space="preserve">mediante acuerdo de fecha </w:t>
      </w:r>
      <w:r w:rsidR="000E182A" w:rsidRPr="00B50274">
        <w:rPr>
          <w:rFonts w:ascii="Palatino Linotype" w:hAnsi="Palatino Linotype"/>
          <w:sz w:val="24"/>
          <w:szCs w:val="24"/>
        </w:rPr>
        <w:t>cuatro (04) de julio</w:t>
      </w:r>
      <w:r w:rsidRPr="00B50274">
        <w:rPr>
          <w:rFonts w:ascii="Palatino Linotype" w:hAnsi="Palatino Linotype"/>
          <w:sz w:val="24"/>
          <w:szCs w:val="24"/>
        </w:rPr>
        <w:t xml:space="preserve"> de la presente anualidad, </w:t>
      </w:r>
      <w:r w:rsidRPr="00B50274">
        <w:rPr>
          <w:rFonts w:ascii="Palatino Linotype" w:hAnsi="Palatino Linotype" w:cs="Arial"/>
          <w:sz w:val="24"/>
          <w:szCs w:val="24"/>
        </w:rPr>
        <w:t xml:space="preserve">por lo que, ordenó turnar el expediente a resolución, misma que ahora se pronuncia; y - - - - - - - - - - - - - - - </w:t>
      </w:r>
    </w:p>
    <w:p w:rsidR="00826822" w:rsidRPr="00B50274" w:rsidRDefault="00826822" w:rsidP="00826822">
      <w:pPr>
        <w:pStyle w:val="Prrafodelista"/>
        <w:rPr>
          <w:rFonts w:ascii="Palatino Linotype" w:hAnsi="Palatino Linotype"/>
          <w:sz w:val="24"/>
          <w:szCs w:val="24"/>
        </w:rPr>
      </w:pPr>
    </w:p>
    <w:p w:rsidR="00792776" w:rsidRPr="00B50274" w:rsidRDefault="00792776" w:rsidP="00792776">
      <w:pPr>
        <w:keepNext/>
        <w:keepLines/>
        <w:spacing w:before="240" w:after="0"/>
        <w:jc w:val="center"/>
        <w:outlineLvl w:val="0"/>
        <w:rPr>
          <w:rFonts w:ascii="Palatino Linotype" w:eastAsia="MS Gothic" w:hAnsi="Palatino Linotype" w:cs="Times New Roman"/>
          <w:b/>
          <w:sz w:val="24"/>
          <w:szCs w:val="24"/>
        </w:rPr>
      </w:pPr>
      <w:bookmarkStart w:id="2" w:name="_Toc521603645"/>
      <w:r w:rsidRPr="00B50274">
        <w:rPr>
          <w:rFonts w:ascii="Palatino Linotype" w:eastAsia="MS Gothic" w:hAnsi="Palatino Linotype" w:cs="Times New Roman"/>
          <w:b/>
          <w:sz w:val="24"/>
          <w:szCs w:val="24"/>
        </w:rPr>
        <w:t>CONSIDERANDO</w:t>
      </w:r>
      <w:bookmarkEnd w:id="2"/>
    </w:p>
    <w:p w:rsidR="00792776" w:rsidRPr="00B50274" w:rsidRDefault="00792776" w:rsidP="003A6D6B">
      <w:pPr>
        <w:keepNext/>
        <w:keepLines/>
        <w:spacing w:before="240" w:after="0"/>
        <w:outlineLvl w:val="0"/>
        <w:rPr>
          <w:rFonts w:ascii="Palatino Linotype" w:eastAsia="MS Gothic" w:hAnsi="Palatino Linotype" w:cs="Times New Roman"/>
          <w:b/>
          <w:sz w:val="24"/>
          <w:szCs w:val="24"/>
        </w:rPr>
      </w:pPr>
      <w:bookmarkStart w:id="3" w:name="_Toc521603646"/>
      <w:r w:rsidRPr="00B50274">
        <w:rPr>
          <w:rFonts w:ascii="Palatino Linotype" w:eastAsia="MS Mincho" w:hAnsi="Palatino Linotype" w:cstheme="majorBidi"/>
          <w:b/>
          <w:sz w:val="24"/>
          <w:szCs w:val="24"/>
          <w:lang w:val="es-ES_tradnl" w:eastAsia="es-ES"/>
        </w:rPr>
        <w:t>PRIMERO</w:t>
      </w:r>
      <w:r w:rsidRPr="00B50274">
        <w:rPr>
          <w:rFonts w:ascii="Palatino Linotype" w:eastAsia="MS Gothic" w:hAnsi="Palatino Linotype" w:cs="Times New Roman"/>
          <w:b/>
          <w:sz w:val="24"/>
          <w:szCs w:val="24"/>
        </w:rPr>
        <w:t>. De la competencia.</w:t>
      </w:r>
      <w:bookmarkEnd w:id="3"/>
    </w:p>
    <w:p w:rsidR="00792776" w:rsidRPr="00B50274" w:rsidRDefault="00792776" w:rsidP="00275FB3">
      <w:pPr>
        <w:rPr>
          <w:sz w:val="24"/>
          <w:szCs w:val="24"/>
        </w:rPr>
      </w:pPr>
    </w:p>
    <w:p w:rsidR="00792776" w:rsidRPr="00B50274" w:rsidRDefault="00792776" w:rsidP="00792776">
      <w:pPr>
        <w:numPr>
          <w:ilvl w:val="0"/>
          <w:numId w:val="2"/>
        </w:numPr>
        <w:spacing w:before="240" w:after="240" w:line="360" w:lineRule="auto"/>
        <w:ind w:left="426" w:hanging="426"/>
        <w:contextualSpacing/>
        <w:jc w:val="both"/>
        <w:rPr>
          <w:rFonts w:ascii="Palatino Linotype" w:eastAsia="MS Mincho" w:hAnsi="Palatino Linotype" w:cs="Times New Roman"/>
          <w:sz w:val="24"/>
          <w:szCs w:val="24"/>
          <w:lang w:val="es-ES_tradnl" w:eastAsia="es-ES"/>
        </w:rPr>
      </w:pPr>
      <w:r w:rsidRPr="00B50274">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B50274">
        <w:rPr>
          <w:rFonts w:ascii="Palatino Linotype" w:eastAsia="Calibri" w:hAnsi="Palatino Linotype" w:cs="Times New Roman"/>
          <w:b/>
          <w:sz w:val="24"/>
          <w:szCs w:val="24"/>
          <w:lang w:val="es-ES" w:eastAsia="es-ES"/>
        </w:rPr>
        <w:t xml:space="preserve">Constitución Política de los Estados Unidos </w:t>
      </w:r>
      <w:r w:rsidRPr="00B50274">
        <w:rPr>
          <w:rFonts w:ascii="Palatino Linotype" w:eastAsia="Calibri" w:hAnsi="Palatino Linotype" w:cs="Times New Roman"/>
          <w:b/>
          <w:sz w:val="24"/>
          <w:szCs w:val="24"/>
          <w:lang w:val="es-ES" w:eastAsia="es-ES"/>
        </w:rPr>
        <w:lastRenderedPageBreak/>
        <w:t>Mexicanos</w:t>
      </w:r>
      <w:r w:rsidRPr="00B50274">
        <w:rPr>
          <w:rFonts w:ascii="Palatino Linotype" w:eastAsia="Calibri" w:hAnsi="Palatino Linotype" w:cs="Times New Roman"/>
          <w:sz w:val="24"/>
          <w:szCs w:val="24"/>
          <w:lang w:val="es-ES" w:eastAsia="es-ES"/>
        </w:rPr>
        <w:t xml:space="preserve">; </w:t>
      </w:r>
      <w:r w:rsidRPr="00B50274">
        <w:rPr>
          <w:rFonts w:ascii="Palatino Linotype" w:hAnsi="Palatino Linotype" w:cs="Arial"/>
          <w:bCs/>
          <w:sz w:val="24"/>
          <w:szCs w:val="24"/>
          <w:shd w:val="clear" w:color="auto" w:fill="FFFFFF"/>
          <w:lang w:val="es-ES"/>
        </w:rPr>
        <w:t>5, párrafos </w:t>
      </w:r>
      <w:r w:rsidRPr="00B50274">
        <w:rPr>
          <w:rFonts w:ascii="Palatino Linotype" w:hAnsi="Palatino Linotype" w:cs="Arial"/>
          <w:bCs/>
          <w:sz w:val="24"/>
          <w:szCs w:val="24"/>
          <w:lang w:val="es-ES"/>
        </w:rPr>
        <w:t>vigésimo, vigésimo primero y vigésimo segundo</w:t>
      </w:r>
      <w:r w:rsidRPr="00B50274">
        <w:rPr>
          <w:rFonts w:ascii="Palatino Linotype" w:hAnsi="Palatino Linotype" w:cs="Arial"/>
          <w:bCs/>
          <w:sz w:val="24"/>
          <w:szCs w:val="24"/>
          <w:shd w:val="clear" w:color="auto" w:fill="FFFFFF"/>
          <w:lang w:val="es-ES"/>
        </w:rPr>
        <w:t> fracciones IV y V </w:t>
      </w:r>
      <w:r w:rsidRPr="00B50274">
        <w:rPr>
          <w:rFonts w:ascii="Palatino Linotype" w:eastAsia="Calibri" w:hAnsi="Palatino Linotype" w:cs="Times New Roman"/>
          <w:sz w:val="24"/>
          <w:szCs w:val="24"/>
          <w:lang w:val="es-ES" w:eastAsia="es-ES"/>
        </w:rPr>
        <w:t xml:space="preserve">de la </w:t>
      </w:r>
      <w:r w:rsidRPr="00B50274">
        <w:rPr>
          <w:rFonts w:ascii="Palatino Linotype" w:eastAsia="Calibri" w:hAnsi="Palatino Linotype" w:cs="Times New Roman"/>
          <w:b/>
          <w:sz w:val="24"/>
          <w:szCs w:val="24"/>
          <w:lang w:val="es-ES" w:eastAsia="es-ES"/>
        </w:rPr>
        <w:t>Constitución Política del Estado Libre y Soberano de México</w:t>
      </w:r>
      <w:r w:rsidRPr="00B50274">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B50274">
        <w:rPr>
          <w:rFonts w:ascii="Palatino Linotype" w:eastAsia="Calibri" w:hAnsi="Palatino Linotype" w:cs="Arial"/>
          <w:sz w:val="24"/>
          <w:szCs w:val="24"/>
          <w:lang w:val="es-ES" w:eastAsia="es-ES"/>
        </w:rPr>
        <w:t xml:space="preserve">de la </w:t>
      </w:r>
      <w:r w:rsidRPr="00B50274">
        <w:rPr>
          <w:rFonts w:ascii="Palatino Linotype" w:eastAsia="Calibri" w:hAnsi="Palatino Linotype" w:cs="Arial"/>
          <w:b/>
          <w:sz w:val="24"/>
          <w:szCs w:val="24"/>
          <w:lang w:val="es-ES" w:eastAsia="es-ES"/>
        </w:rPr>
        <w:t>Ley de Transparencia y Acceso a la Información Pública del Estado de México y Municipios</w:t>
      </w:r>
      <w:r w:rsidRPr="00B50274">
        <w:rPr>
          <w:rFonts w:ascii="Palatino Linotype" w:eastAsia="Calibri" w:hAnsi="Palatino Linotype" w:cs="Arial"/>
          <w:sz w:val="24"/>
          <w:szCs w:val="24"/>
          <w:lang w:val="es-ES" w:eastAsia="es-ES"/>
        </w:rPr>
        <w:t xml:space="preserve">; </w:t>
      </w:r>
      <w:r w:rsidRPr="00B50274">
        <w:rPr>
          <w:rFonts w:ascii="Palatino Linotype" w:eastAsia="Calibri" w:hAnsi="Palatino Linotype" w:cs="Arial"/>
          <w:b/>
          <w:sz w:val="24"/>
          <w:szCs w:val="24"/>
          <w:lang w:val="es-ES" w:eastAsia="es-ES"/>
        </w:rPr>
        <w:t>7, 9 fracciones I y XXIV, y 11</w:t>
      </w:r>
      <w:r w:rsidRPr="00B50274">
        <w:rPr>
          <w:rFonts w:ascii="Palatino Linotype" w:eastAsia="Calibri" w:hAnsi="Palatino Linotype" w:cs="Arial"/>
          <w:sz w:val="24"/>
          <w:szCs w:val="24"/>
          <w:lang w:val="es-ES" w:eastAsia="es-ES"/>
        </w:rPr>
        <w:t xml:space="preserve"> del </w:t>
      </w:r>
      <w:r w:rsidRPr="00B50274">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B50274">
        <w:rPr>
          <w:rFonts w:ascii="Palatino Linotype" w:eastAsia="MS Mincho" w:hAnsi="Palatino Linotype" w:cs="Times New Roman"/>
          <w:sz w:val="24"/>
          <w:szCs w:val="24"/>
          <w:lang w:val="es-ES_tradnl" w:eastAsia="es-ES"/>
        </w:rPr>
        <w:t>.</w:t>
      </w:r>
    </w:p>
    <w:p w:rsidR="00792776" w:rsidRPr="00B50274" w:rsidRDefault="00792776" w:rsidP="00792776">
      <w:pPr>
        <w:spacing w:before="240" w:after="240" w:line="360" w:lineRule="auto"/>
        <w:contextualSpacing/>
        <w:jc w:val="both"/>
        <w:rPr>
          <w:rFonts w:ascii="Palatino Linotype" w:eastAsia="MS Mincho" w:hAnsi="Palatino Linotype" w:cs="Times New Roman"/>
          <w:sz w:val="24"/>
          <w:szCs w:val="24"/>
          <w:lang w:val="es-ES_tradnl" w:eastAsia="es-ES"/>
        </w:rPr>
      </w:pPr>
    </w:p>
    <w:p w:rsidR="009421B1" w:rsidRPr="00B50274" w:rsidRDefault="009421B1" w:rsidP="009421B1">
      <w:pPr>
        <w:keepNext/>
        <w:keepLines/>
        <w:spacing w:before="240" w:after="0"/>
        <w:outlineLvl w:val="0"/>
        <w:rPr>
          <w:rFonts w:ascii="Palatino Linotype" w:hAnsi="Palatino Linotype"/>
          <w:b/>
          <w:sz w:val="24"/>
          <w:szCs w:val="24"/>
        </w:rPr>
      </w:pPr>
      <w:bookmarkStart w:id="4" w:name="_Toc491791304"/>
      <w:bookmarkStart w:id="5" w:name="_Toc507496347"/>
      <w:bookmarkStart w:id="6" w:name="_Toc517100738"/>
      <w:bookmarkStart w:id="7" w:name="_Toc521603647"/>
      <w:r w:rsidRPr="00B50274">
        <w:rPr>
          <w:rFonts w:ascii="Palatino Linotype" w:eastAsia="MS Mincho" w:hAnsi="Palatino Linotype" w:cstheme="majorBidi"/>
          <w:b/>
          <w:sz w:val="24"/>
          <w:szCs w:val="24"/>
          <w:lang w:val="es-ES_tradnl" w:eastAsia="es-ES"/>
        </w:rPr>
        <w:t>SEGUNDO</w:t>
      </w:r>
      <w:r w:rsidRPr="00B50274">
        <w:rPr>
          <w:rFonts w:ascii="Palatino Linotype" w:hAnsi="Palatino Linotype"/>
          <w:b/>
          <w:sz w:val="24"/>
          <w:szCs w:val="24"/>
        </w:rPr>
        <w:t>. De la oportunidad y procedencia.</w:t>
      </w:r>
      <w:bookmarkEnd w:id="4"/>
      <w:bookmarkEnd w:id="5"/>
      <w:bookmarkEnd w:id="6"/>
      <w:bookmarkEnd w:id="7"/>
    </w:p>
    <w:p w:rsidR="009421B1" w:rsidRPr="00B50274" w:rsidRDefault="009421B1" w:rsidP="009421B1">
      <w:pPr>
        <w:rPr>
          <w:sz w:val="24"/>
          <w:szCs w:val="24"/>
        </w:rPr>
      </w:pPr>
    </w:p>
    <w:p w:rsidR="00FA5234" w:rsidRPr="00B50274" w:rsidRDefault="009421B1" w:rsidP="00FE7BC6">
      <w:pPr>
        <w:numPr>
          <w:ilvl w:val="0"/>
          <w:numId w:val="2"/>
        </w:numPr>
        <w:spacing w:before="240" w:after="240" w:line="360" w:lineRule="auto"/>
        <w:ind w:left="426" w:hanging="426"/>
        <w:contextualSpacing/>
        <w:jc w:val="both"/>
        <w:rPr>
          <w:rFonts w:ascii="Palatino Linotype" w:eastAsia="Calibri" w:hAnsi="Palatino Linotype" w:cs="Arial"/>
          <w:sz w:val="24"/>
          <w:szCs w:val="24"/>
        </w:rPr>
      </w:pPr>
      <w:r w:rsidRPr="00B50274">
        <w:rPr>
          <w:rFonts w:ascii="Palatino Linotype" w:eastAsia="Calibri" w:hAnsi="Palatino Linotype" w:cs="Arial"/>
          <w:sz w:val="24"/>
          <w:szCs w:val="24"/>
        </w:rPr>
        <w:t xml:space="preserve">El </w:t>
      </w:r>
      <w:r w:rsidRPr="00B50274">
        <w:rPr>
          <w:rFonts w:ascii="Palatino Linotype" w:eastAsia="Calibri" w:hAnsi="Palatino Linotype" w:cs="Times New Roman"/>
          <w:sz w:val="24"/>
          <w:szCs w:val="24"/>
          <w:lang w:val="es-ES" w:eastAsia="es-ES"/>
        </w:rPr>
        <w:t>medio</w:t>
      </w:r>
      <w:r w:rsidRPr="00B50274">
        <w:rPr>
          <w:rFonts w:ascii="Palatino Linotype" w:eastAsia="Calibri" w:hAnsi="Palatino Linotype" w:cs="Arial"/>
          <w:sz w:val="24"/>
          <w:szCs w:val="24"/>
        </w:rPr>
        <w:t xml:space="preserve"> de impugnación fue presentado a través del </w:t>
      </w:r>
      <w:r w:rsidRPr="00B50274">
        <w:rPr>
          <w:rFonts w:ascii="Palatino Linotype" w:eastAsia="Calibri" w:hAnsi="Palatino Linotype" w:cs="Arial"/>
          <w:b/>
          <w:sz w:val="24"/>
          <w:szCs w:val="24"/>
        </w:rPr>
        <w:t>SAIMEX</w:t>
      </w:r>
      <w:r w:rsidRPr="00B50274">
        <w:rPr>
          <w:rFonts w:ascii="Palatino Linotype" w:eastAsia="Calibri" w:hAnsi="Palatino Linotype" w:cs="Arial"/>
          <w:sz w:val="24"/>
          <w:szCs w:val="24"/>
        </w:rPr>
        <w:t xml:space="preserve">, en el formato previamente aprobado para tal efecto y dentro del plazo legal de quince días hábiles otorgados; para el caso en particular es de señalar que el </w:t>
      </w:r>
      <w:r w:rsidRPr="00B50274">
        <w:rPr>
          <w:rFonts w:ascii="Palatino Linotype" w:eastAsia="Calibri" w:hAnsi="Palatino Linotype" w:cs="Arial"/>
          <w:b/>
          <w:sz w:val="24"/>
          <w:szCs w:val="24"/>
        </w:rPr>
        <w:t>SUJETO OBLIGADO</w:t>
      </w:r>
      <w:r w:rsidRPr="00B50274">
        <w:rPr>
          <w:rFonts w:ascii="Palatino Linotype" w:eastAsia="Calibri" w:hAnsi="Palatino Linotype" w:cs="Arial"/>
          <w:sz w:val="24"/>
          <w:szCs w:val="24"/>
        </w:rPr>
        <w:t xml:space="preserve"> entregó </w:t>
      </w:r>
      <w:r w:rsidR="00FA5234" w:rsidRPr="00B50274">
        <w:rPr>
          <w:rFonts w:ascii="Palatino Linotype" w:eastAsia="Calibri" w:hAnsi="Palatino Linotype" w:cs="Arial"/>
          <w:sz w:val="24"/>
          <w:szCs w:val="24"/>
        </w:rPr>
        <w:t xml:space="preserve">su respuesta el </w:t>
      </w:r>
      <w:r w:rsidR="00602E0F" w:rsidRPr="00B50274">
        <w:rPr>
          <w:rFonts w:ascii="Palatino Linotype" w:eastAsia="Calibri" w:hAnsi="Palatino Linotype" w:cs="Arial"/>
          <w:sz w:val="24"/>
          <w:szCs w:val="24"/>
        </w:rPr>
        <w:t>uno (01) de junio</w:t>
      </w:r>
      <w:r w:rsidR="00FA5234" w:rsidRPr="00B50274">
        <w:rPr>
          <w:rFonts w:ascii="Palatino Linotype" w:eastAsia="Calibri" w:hAnsi="Palatino Linotype" w:cs="Arial"/>
          <w:sz w:val="24"/>
          <w:szCs w:val="24"/>
        </w:rPr>
        <w:t xml:space="preserve"> de dos mil dieciocho, de tal forma que el plazo para interponer el recurso transcurrió del día </w:t>
      </w:r>
      <w:r w:rsidR="00764BBB" w:rsidRPr="00B50274">
        <w:rPr>
          <w:rFonts w:ascii="Palatino Linotype" w:eastAsia="Calibri" w:hAnsi="Palatino Linotype" w:cs="Arial"/>
          <w:sz w:val="24"/>
          <w:szCs w:val="24"/>
        </w:rPr>
        <w:t xml:space="preserve">cuatro (04) de julio al veintidós (22) </w:t>
      </w:r>
      <w:r w:rsidR="002D6908" w:rsidRPr="00B50274">
        <w:rPr>
          <w:rFonts w:ascii="Palatino Linotype" w:eastAsia="Calibri" w:hAnsi="Palatino Linotype" w:cs="Arial"/>
          <w:sz w:val="24"/>
          <w:szCs w:val="24"/>
        </w:rPr>
        <w:t>de junio</w:t>
      </w:r>
      <w:r w:rsidR="00FA5234" w:rsidRPr="00B50274">
        <w:rPr>
          <w:rFonts w:ascii="Palatino Linotype" w:eastAsia="Calibri" w:hAnsi="Palatino Linotype" w:cs="Arial"/>
          <w:sz w:val="24"/>
          <w:szCs w:val="24"/>
        </w:rPr>
        <w:t xml:space="preserve"> de la presente anualidad;  por lo que al presentar su inconformidad el día </w:t>
      </w:r>
      <w:r w:rsidR="00764BBB" w:rsidRPr="00B50274">
        <w:rPr>
          <w:rFonts w:ascii="Palatino Linotype" w:eastAsia="Calibri" w:hAnsi="Palatino Linotype" w:cs="Arial"/>
          <w:sz w:val="24"/>
          <w:szCs w:val="24"/>
        </w:rPr>
        <w:t>ocho (08</w:t>
      </w:r>
      <w:r w:rsidR="008D4E1A" w:rsidRPr="00B50274">
        <w:rPr>
          <w:rFonts w:ascii="Palatino Linotype" w:eastAsia="Calibri" w:hAnsi="Palatino Linotype" w:cs="Arial"/>
          <w:sz w:val="24"/>
          <w:szCs w:val="24"/>
        </w:rPr>
        <w:t>) de junio</w:t>
      </w:r>
      <w:r w:rsidR="002D6908" w:rsidRPr="00B50274">
        <w:rPr>
          <w:rFonts w:ascii="Palatino Linotype" w:eastAsia="Calibri" w:hAnsi="Palatino Linotype" w:cs="Arial"/>
          <w:sz w:val="24"/>
          <w:szCs w:val="24"/>
        </w:rPr>
        <w:t xml:space="preserve"> </w:t>
      </w:r>
      <w:r w:rsidR="00FA5234" w:rsidRPr="00B50274">
        <w:rPr>
          <w:rFonts w:ascii="Palatino Linotype" w:eastAsia="Calibri" w:hAnsi="Palatino Linotype" w:cs="Arial"/>
          <w:sz w:val="24"/>
          <w:szCs w:val="24"/>
        </w:rPr>
        <w:t xml:space="preserve">de dos mil dieciocho, </w:t>
      </w:r>
      <w:r w:rsidR="00193AD9" w:rsidRPr="00B50274">
        <w:rPr>
          <w:rFonts w:ascii="Palatino Linotype" w:hAnsi="Palatino Linotype" w:cs="Arial"/>
          <w:sz w:val="24"/>
          <w:szCs w:val="24"/>
        </w:rPr>
        <w:t>es decir, dentro del plazo legalmente establecido para tal efecto.</w:t>
      </w:r>
    </w:p>
    <w:p w:rsidR="00CA4834" w:rsidRPr="00B50274" w:rsidRDefault="00CA4834" w:rsidP="00CA4834">
      <w:pPr>
        <w:spacing w:before="240" w:after="240" w:line="360" w:lineRule="auto"/>
        <w:ind w:left="426"/>
        <w:contextualSpacing/>
        <w:jc w:val="both"/>
        <w:rPr>
          <w:rFonts w:ascii="Palatino Linotype" w:eastAsia="Calibri" w:hAnsi="Palatino Linotype" w:cs="Arial"/>
          <w:sz w:val="24"/>
          <w:szCs w:val="24"/>
        </w:rPr>
      </w:pPr>
    </w:p>
    <w:p w:rsidR="00193AD9" w:rsidRPr="00B50274" w:rsidRDefault="00193AD9" w:rsidP="00CA4834">
      <w:pPr>
        <w:numPr>
          <w:ilvl w:val="0"/>
          <w:numId w:val="2"/>
        </w:numPr>
        <w:spacing w:before="240" w:after="240" w:line="360" w:lineRule="auto"/>
        <w:ind w:left="426" w:hanging="426"/>
        <w:contextualSpacing/>
        <w:jc w:val="both"/>
        <w:rPr>
          <w:rFonts w:ascii="Palatino Linotype" w:eastAsia="Calibri" w:hAnsi="Palatino Linotype" w:cs="Arial"/>
          <w:sz w:val="24"/>
          <w:szCs w:val="24"/>
        </w:rPr>
      </w:pPr>
      <w:r w:rsidRPr="00B50274">
        <w:rPr>
          <w:rFonts w:ascii="Palatino Linotype" w:eastAsia="Calibri" w:hAnsi="Palatino Linotype" w:cs="Arial"/>
          <w:sz w:val="24"/>
          <w:szCs w:val="24"/>
        </w:rPr>
        <w:t xml:space="preserve">Por </w:t>
      </w:r>
      <w:r w:rsidRPr="00B50274">
        <w:rPr>
          <w:rFonts w:ascii="Palatino Linotype" w:eastAsia="Calibri" w:hAnsi="Palatino Linotype" w:cs="Times New Roman"/>
          <w:sz w:val="24"/>
          <w:szCs w:val="24"/>
          <w:lang w:val="es-ES" w:eastAsia="es-ES"/>
        </w:rPr>
        <w:t>otro</w:t>
      </w:r>
      <w:r w:rsidRPr="00B50274">
        <w:rPr>
          <w:rFonts w:ascii="Palatino Linotype" w:eastAsia="Calibri" w:hAnsi="Palatino Linotype" w:cs="Arial"/>
          <w:sz w:val="24"/>
          <w:szCs w:val="24"/>
        </w:rPr>
        <w:t xml:space="preserve">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CA4834" w:rsidRPr="00B50274" w:rsidRDefault="00CA4834" w:rsidP="00CA4834">
      <w:pPr>
        <w:spacing w:before="240" w:after="240" w:line="360" w:lineRule="auto"/>
        <w:ind w:left="426"/>
        <w:contextualSpacing/>
        <w:jc w:val="both"/>
        <w:rPr>
          <w:rFonts w:ascii="Palatino Linotype" w:eastAsia="Calibri" w:hAnsi="Palatino Linotype" w:cs="Arial"/>
          <w:sz w:val="24"/>
          <w:szCs w:val="24"/>
        </w:rPr>
      </w:pPr>
    </w:p>
    <w:p w:rsidR="00193AD9" w:rsidRPr="00B50274" w:rsidRDefault="00193AD9" w:rsidP="00FE7BC6">
      <w:pPr>
        <w:numPr>
          <w:ilvl w:val="0"/>
          <w:numId w:val="2"/>
        </w:numPr>
        <w:spacing w:before="240" w:after="240" w:line="360" w:lineRule="auto"/>
        <w:ind w:left="426" w:hanging="426"/>
        <w:contextualSpacing/>
        <w:jc w:val="both"/>
        <w:rPr>
          <w:rFonts w:ascii="Palatino Linotype" w:eastAsia="Calibri" w:hAnsi="Palatino Linotype" w:cs="Arial"/>
          <w:sz w:val="24"/>
          <w:szCs w:val="24"/>
        </w:rPr>
      </w:pPr>
      <w:r w:rsidRPr="00B50274">
        <w:rPr>
          <w:rFonts w:ascii="Palatino Linotype" w:hAnsi="Palatino Linotype" w:cs="Arial"/>
          <w:sz w:val="24"/>
          <w:szCs w:val="24"/>
        </w:rPr>
        <w:t xml:space="preserve">Que el recurso de revisión tiene como finalidad reparar cualquier posible afectación al derecho de acceso a la información pública en términos del Título Octavo de la Ley de Transparencia, Acceso a la Información Pública del Estado de México y Municipios, y determinar la confirmación; revocación o modificación; </w:t>
      </w:r>
      <w:proofErr w:type="spellStart"/>
      <w:r w:rsidRPr="00B50274">
        <w:rPr>
          <w:rFonts w:ascii="Palatino Linotype" w:hAnsi="Palatino Linotype" w:cs="Arial"/>
          <w:sz w:val="24"/>
          <w:szCs w:val="24"/>
        </w:rPr>
        <w:t>desechamiento</w:t>
      </w:r>
      <w:proofErr w:type="spellEnd"/>
      <w:r w:rsidRPr="00B50274">
        <w:rPr>
          <w:rFonts w:ascii="Palatino Linotype" w:hAnsi="Palatino Linotype" w:cs="Arial"/>
          <w:sz w:val="24"/>
          <w:szCs w:val="24"/>
        </w:rPr>
        <w:t xml:space="preserve"> o sobreseimiento; y en su caso ordenar la entrega de la información respecto a la respuesta emitida por el </w:t>
      </w:r>
      <w:r w:rsidRPr="00B50274">
        <w:rPr>
          <w:rFonts w:ascii="Palatino Linotype" w:hAnsi="Palatino Linotype" w:cs="Arial"/>
          <w:b/>
          <w:sz w:val="24"/>
          <w:szCs w:val="24"/>
        </w:rPr>
        <w:t>SUJETO OBLIGADO</w:t>
      </w:r>
      <w:r w:rsidRPr="00B50274">
        <w:rPr>
          <w:rFonts w:ascii="Palatino Linotype" w:hAnsi="Palatino Linotype" w:cs="Arial"/>
          <w:sz w:val="24"/>
          <w:szCs w:val="24"/>
        </w:rPr>
        <w:t>.</w:t>
      </w:r>
    </w:p>
    <w:p w:rsidR="006E24FE" w:rsidRPr="00B50274" w:rsidRDefault="006E24FE" w:rsidP="006E24FE">
      <w:pPr>
        <w:keepNext/>
        <w:keepLines/>
        <w:spacing w:before="240" w:after="0"/>
        <w:outlineLvl w:val="0"/>
        <w:rPr>
          <w:rFonts w:ascii="Palatino Linotype" w:hAnsi="Palatino Linotype"/>
          <w:b/>
          <w:sz w:val="24"/>
        </w:rPr>
      </w:pPr>
      <w:bookmarkStart w:id="8" w:name="_Toc519166204"/>
      <w:bookmarkStart w:id="9" w:name="_Toc521603648"/>
      <w:r w:rsidRPr="00B50274">
        <w:rPr>
          <w:rFonts w:ascii="Palatino Linotype" w:eastAsia="MS Mincho" w:hAnsi="Palatino Linotype" w:cstheme="majorBidi"/>
          <w:b/>
          <w:sz w:val="24"/>
          <w:szCs w:val="24"/>
          <w:lang w:val="es-ES_tradnl" w:eastAsia="es-ES"/>
        </w:rPr>
        <w:t>TERCERO</w:t>
      </w:r>
      <w:r w:rsidRPr="00B50274">
        <w:rPr>
          <w:rFonts w:ascii="Palatino Linotype" w:hAnsi="Palatino Linotype"/>
          <w:b/>
          <w:sz w:val="24"/>
        </w:rPr>
        <w:t>. Planteamiento de la Litis</w:t>
      </w:r>
      <w:bookmarkEnd w:id="8"/>
      <w:bookmarkEnd w:id="9"/>
    </w:p>
    <w:p w:rsidR="006E24FE" w:rsidRPr="00B50274" w:rsidRDefault="006E24FE" w:rsidP="00481A10"/>
    <w:p w:rsidR="006E24FE" w:rsidRPr="00B50274" w:rsidRDefault="006E24FE" w:rsidP="006E24FE">
      <w:pPr>
        <w:pStyle w:val="Prrafodelista"/>
        <w:numPr>
          <w:ilvl w:val="0"/>
          <w:numId w:val="2"/>
        </w:numPr>
        <w:spacing w:after="0" w:line="360" w:lineRule="auto"/>
        <w:ind w:left="284"/>
        <w:jc w:val="both"/>
        <w:rPr>
          <w:rFonts w:ascii="Palatino Linotype" w:eastAsia="Calibri" w:hAnsi="Palatino Linotype" w:cs="Arial"/>
          <w:sz w:val="24"/>
        </w:rPr>
      </w:pPr>
      <w:r w:rsidRPr="00B50274">
        <w:rPr>
          <w:rFonts w:ascii="Palatino Linotype" w:eastAsia="Calibri" w:hAnsi="Palatino Linotype" w:cs="Arial"/>
        </w:rPr>
        <w:t xml:space="preserve"> </w:t>
      </w:r>
      <w:r w:rsidRPr="00B50274">
        <w:rPr>
          <w:rFonts w:ascii="Palatino Linotype" w:eastAsia="Calibri" w:hAnsi="Palatino Linotype" w:cs="Arial"/>
          <w:sz w:val="24"/>
        </w:rPr>
        <w:t xml:space="preserve">Del análisis de la solicitud de información se desprende que el particular solicitó: </w:t>
      </w:r>
    </w:p>
    <w:p w:rsidR="006E24FE" w:rsidRPr="00B50274" w:rsidRDefault="006E24FE" w:rsidP="006E24FE">
      <w:pPr>
        <w:pStyle w:val="Prrafodelista"/>
        <w:spacing w:line="360" w:lineRule="auto"/>
        <w:ind w:left="1429" w:right="333"/>
        <w:jc w:val="both"/>
        <w:rPr>
          <w:rFonts w:ascii="Palatino Linotype" w:hAnsi="Palatino Linotype"/>
          <w:b/>
          <w:color w:val="000000"/>
          <w:sz w:val="24"/>
        </w:rPr>
      </w:pPr>
    </w:p>
    <w:p w:rsidR="006E24FE" w:rsidRPr="00B50274" w:rsidRDefault="006E24FE" w:rsidP="00DD3AB8">
      <w:pPr>
        <w:pStyle w:val="Prrafodelista"/>
        <w:numPr>
          <w:ilvl w:val="0"/>
          <w:numId w:val="30"/>
        </w:numPr>
        <w:spacing w:after="0" w:line="360" w:lineRule="auto"/>
        <w:ind w:right="333"/>
        <w:jc w:val="both"/>
        <w:rPr>
          <w:rFonts w:ascii="Palatino Linotype" w:hAnsi="Palatino Linotype"/>
          <w:color w:val="000000"/>
          <w:sz w:val="24"/>
        </w:rPr>
      </w:pPr>
      <w:r w:rsidRPr="00B50274">
        <w:rPr>
          <w:rFonts w:ascii="Palatino Linotype" w:hAnsi="Palatino Linotype"/>
          <w:color w:val="000000"/>
          <w:sz w:val="24"/>
        </w:rPr>
        <w:t>El expediente OSFEM/UAJ/PAR-IM/294/13</w:t>
      </w:r>
      <w:r w:rsidR="00DD3AB8" w:rsidRPr="00B50274">
        <w:rPr>
          <w:rFonts w:ascii="Palatino Linotype" w:hAnsi="Palatino Linotype"/>
          <w:color w:val="000000"/>
          <w:sz w:val="24"/>
        </w:rPr>
        <w:t>.</w:t>
      </w:r>
    </w:p>
    <w:p w:rsidR="006E24FE" w:rsidRPr="00B50274" w:rsidRDefault="006E24FE" w:rsidP="006E24FE">
      <w:pPr>
        <w:pStyle w:val="Prrafodelista"/>
        <w:numPr>
          <w:ilvl w:val="0"/>
          <w:numId w:val="30"/>
        </w:numPr>
        <w:spacing w:after="0" w:line="360" w:lineRule="auto"/>
        <w:ind w:right="333"/>
        <w:jc w:val="both"/>
        <w:rPr>
          <w:rFonts w:ascii="Palatino Linotype" w:hAnsi="Palatino Linotype"/>
          <w:color w:val="000000"/>
          <w:sz w:val="24"/>
        </w:rPr>
      </w:pPr>
      <w:r w:rsidRPr="00B50274">
        <w:rPr>
          <w:rFonts w:ascii="Palatino Linotype" w:hAnsi="Palatino Linotype"/>
          <w:color w:val="000000"/>
          <w:sz w:val="24"/>
        </w:rPr>
        <w:t>La Resolución emitida en el expediente RR-PAR/370/14 y su acumulado RR-PAR/371/14 y sus respectivas constancias de notificación</w:t>
      </w:r>
      <w:r w:rsidR="00DD3AB8" w:rsidRPr="00B50274">
        <w:rPr>
          <w:rFonts w:ascii="Palatino Linotype" w:hAnsi="Palatino Linotype"/>
          <w:color w:val="000000"/>
          <w:sz w:val="24"/>
        </w:rPr>
        <w:t>.</w:t>
      </w:r>
    </w:p>
    <w:p w:rsidR="00DD3AB8" w:rsidRPr="00B50274" w:rsidRDefault="006E24FE" w:rsidP="00DD3AB8">
      <w:pPr>
        <w:pStyle w:val="Prrafodelista"/>
        <w:numPr>
          <w:ilvl w:val="0"/>
          <w:numId w:val="30"/>
        </w:numPr>
        <w:spacing w:after="0" w:line="360" w:lineRule="auto"/>
        <w:ind w:right="333"/>
        <w:jc w:val="both"/>
        <w:rPr>
          <w:rFonts w:ascii="Palatino Linotype" w:hAnsi="Palatino Linotype"/>
          <w:color w:val="000000"/>
          <w:sz w:val="24"/>
        </w:rPr>
      </w:pPr>
      <w:r w:rsidRPr="00B50274">
        <w:rPr>
          <w:rFonts w:ascii="Palatino Linotype" w:hAnsi="Palatino Linotype"/>
          <w:color w:val="000000"/>
          <w:sz w:val="24"/>
        </w:rPr>
        <w:t xml:space="preserve">La sentencia </w:t>
      </w:r>
      <w:r w:rsidR="00DD3AB8" w:rsidRPr="00B50274">
        <w:rPr>
          <w:rFonts w:ascii="Palatino Linotype" w:hAnsi="Palatino Linotype"/>
          <w:color w:val="000000"/>
          <w:sz w:val="24"/>
        </w:rPr>
        <w:t>dictada</w:t>
      </w:r>
      <w:r w:rsidRPr="00B50274">
        <w:rPr>
          <w:rFonts w:ascii="Palatino Linotype" w:hAnsi="Palatino Linotype"/>
          <w:color w:val="000000"/>
          <w:sz w:val="24"/>
        </w:rPr>
        <w:t xml:space="preserve"> en el juicio de amparo 1900/2015</w:t>
      </w:r>
      <w:r w:rsidR="00DD3AB8" w:rsidRPr="00B50274">
        <w:rPr>
          <w:rFonts w:ascii="Palatino Linotype" w:hAnsi="Palatino Linotype"/>
          <w:color w:val="000000"/>
          <w:sz w:val="24"/>
        </w:rPr>
        <w:t>.</w:t>
      </w:r>
    </w:p>
    <w:p w:rsidR="006E24FE" w:rsidRPr="00B50274" w:rsidRDefault="00DD3AB8" w:rsidP="00DD3AB8">
      <w:pPr>
        <w:pStyle w:val="Prrafodelista"/>
        <w:numPr>
          <w:ilvl w:val="0"/>
          <w:numId w:val="30"/>
        </w:numPr>
        <w:spacing w:after="0" w:line="360" w:lineRule="auto"/>
        <w:ind w:right="333"/>
        <w:jc w:val="both"/>
        <w:rPr>
          <w:rFonts w:ascii="Palatino Linotype" w:hAnsi="Palatino Linotype"/>
          <w:color w:val="000000"/>
          <w:sz w:val="24"/>
        </w:rPr>
      </w:pPr>
      <w:r w:rsidRPr="00B50274">
        <w:rPr>
          <w:rFonts w:ascii="Palatino Linotype" w:hAnsi="Palatino Linotype"/>
          <w:color w:val="000000"/>
          <w:sz w:val="24"/>
        </w:rPr>
        <w:t>La sentencia del amparo</w:t>
      </w:r>
      <w:r w:rsidR="006E24FE" w:rsidRPr="00B50274">
        <w:rPr>
          <w:rFonts w:ascii="Palatino Linotype" w:hAnsi="Palatino Linotype"/>
          <w:color w:val="000000"/>
          <w:sz w:val="24"/>
        </w:rPr>
        <w:t xml:space="preserve"> en </w:t>
      </w:r>
      <w:r w:rsidRPr="00B50274">
        <w:rPr>
          <w:rFonts w:ascii="Palatino Linotype" w:hAnsi="Palatino Linotype"/>
          <w:color w:val="000000"/>
          <w:sz w:val="24"/>
        </w:rPr>
        <w:t xml:space="preserve">revisión 165/2016 </w:t>
      </w:r>
      <w:r w:rsidR="006E24FE" w:rsidRPr="00B50274">
        <w:rPr>
          <w:rFonts w:ascii="Palatino Linotype" w:hAnsi="Palatino Linotype"/>
          <w:color w:val="000000"/>
          <w:sz w:val="24"/>
        </w:rPr>
        <w:t xml:space="preserve"> </w:t>
      </w:r>
    </w:p>
    <w:p w:rsidR="006E24FE" w:rsidRPr="00B50274" w:rsidRDefault="00A12261" w:rsidP="00A12261">
      <w:pPr>
        <w:pStyle w:val="Prrafodelista"/>
        <w:numPr>
          <w:ilvl w:val="0"/>
          <w:numId w:val="30"/>
        </w:numPr>
        <w:spacing w:after="0" w:line="360" w:lineRule="auto"/>
        <w:ind w:right="333"/>
        <w:jc w:val="both"/>
        <w:rPr>
          <w:rFonts w:ascii="Palatino Linotype" w:hAnsi="Palatino Linotype"/>
          <w:color w:val="000000"/>
          <w:sz w:val="24"/>
        </w:rPr>
      </w:pPr>
      <w:r w:rsidRPr="00B50274">
        <w:rPr>
          <w:rFonts w:ascii="Palatino Linotype" w:hAnsi="Palatino Linotype"/>
          <w:color w:val="000000"/>
          <w:sz w:val="24"/>
        </w:rPr>
        <w:t xml:space="preserve">Los documentos que el OSFEM solicitó al Municipio de </w:t>
      </w:r>
      <w:proofErr w:type="spellStart"/>
      <w:r w:rsidRPr="00B50274">
        <w:rPr>
          <w:rFonts w:ascii="Palatino Linotype" w:hAnsi="Palatino Linotype"/>
          <w:color w:val="000000"/>
          <w:sz w:val="24"/>
        </w:rPr>
        <w:t>Xonacatlán</w:t>
      </w:r>
      <w:proofErr w:type="spellEnd"/>
      <w:r w:rsidRPr="00B50274">
        <w:rPr>
          <w:rFonts w:ascii="Palatino Linotype" w:hAnsi="Palatino Linotype"/>
          <w:color w:val="000000"/>
          <w:sz w:val="24"/>
        </w:rPr>
        <w:t xml:space="preserve"> por concepto de requerimiento y pago de la responsabilidad administrativa resarcitoria determinada en el expediente OSFEM/UAJ/PAR-IM/294/13.</w:t>
      </w:r>
      <w:r w:rsidRPr="00B50274">
        <w:rPr>
          <w:rFonts w:ascii="Palatino Linotype" w:hAnsi="Palatino Linotype"/>
          <w:color w:val="000000"/>
          <w:sz w:val="24"/>
        </w:rPr>
        <w:cr/>
      </w:r>
    </w:p>
    <w:p w:rsidR="00A12261" w:rsidRPr="00B50274" w:rsidRDefault="006E24FE" w:rsidP="00A12261">
      <w:pPr>
        <w:pStyle w:val="Prrafodelista"/>
        <w:numPr>
          <w:ilvl w:val="0"/>
          <w:numId w:val="2"/>
        </w:numPr>
        <w:spacing w:after="0" w:line="360" w:lineRule="auto"/>
        <w:jc w:val="both"/>
        <w:rPr>
          <w:rFonts w:ascii="Palatino Linotype" w:eastAsia="MS Mincho" w:hAnsi="Palatino Linotype" w:cstheme="majorBidi"/>
          <w:i/>
          <w:sz w:val="28"/>
          <w:szCs w:val="24"/>
          <w:lang w:eastAsia="es-ES"/>
        </w:rPr>
      </w:pPr>
      <w:r w:rsidRPr="00B50274">
        <w:rPr>
          <w:rFonts w:ascii="Palatino Linotype" w:hAnsi="Palatino Linotype" w:cs="Arial"/>
          <w:sz w:val="24"/>
          <w:lang w:eastAsia="es-MX"/>
        </w:rPr>
        <w:t xml:space="preserve">El Sujeto </w:t>
      </w:r>
      <w:r w:rsidR="00A12261" w:rsidRPr="00B50274">
        <w:rPr>
          <w:rFonts w:ascii="Palatino Linotype" w:hAnsi="Palatino Linotype" w:cs="Arial"/>
          <w:sz w:val="24"/>
          <w:lang w:eastAsia="es-MX"/>
        </w:rPr>
        <w:t xml:space="preserve">Obligado en respuesta señaló que una vez que se localizó y se verificó la naturaleza de la información requerida, se estima procedente proporcionar en la modalidad de entrega instada, la documentación relativa al: expediente </w:t>
      </w:r>
      <w:r w:rsidR="00A12261" w:rsidRPr="00B50274">
        <w:rPr>
          <w:rFonts w:ascii="Palatino Linotype" w:hAnsi="Palatino Linotype" w:cs="Arial"/>
          <w:sz w:val="24"/>
          <w:lang w:eastAsia="es-MX"/>
        </w:rPr>
        <w:lastRenderedPageBreak/>
        <w:t xml:space="preserve">OSFEM/UAJ/PAR-IM/294/13; resolución emitida en el expediente RR-PAR/370/14 y su acumulado RR-PAR/371/14 y sus respectivas constancias de notificación; sentencia dictada en el juicio de amparo 1900/2015 y amparo en revisión 165/2016, así como la promoción del Procedimiento Administrativo de Ejecución del expediente citado; especificando el número de fojas al que corresponde cada apartado, en ese orden de ideas, indica que el solicitante deberá de cubrir el costo que genera la digitalización del expediente y documentos solicitados, toda vez que implica que se deberá digitalizar la documentación y una vez que se cuente con el pago respectivo, este órgano técnico proceda a la elaboración de la versión pública para su entrega al solicitante; anexando el Acta de la Segunda Sesión Ordinaria del Comité de Transparencia del Poder Legislativo del Estado de México celebrada el 17 de mayo de 2018, en la cual, se aprobó la clasificación de información como confidencial de los siguientes datos personales enlistados de forma enunciativa mas no limitativa: datos personales concernientes a servidores públicos involucrados y cualquier dato que pudiera hacerlos identificables.  </w:t>
      </w:r>
    </w:p>
    <w:p w:rsidR="00A12261" w:rsidRPr="00B50274" w:rsidRDefault="00A12261" w:rsidP="00A12261">
      <w:pPr>
        <w:pStyle w:val="Prrafodelista"/>
        <w:spacing w:after="0" w:line="360" w:lineRule="auto"/>
        <w:ind w:left="360"/>
        <w:jc w:val="both"/>
        <w:rPr>
          <w:rFonts w:ascii="Palatino Linotype" w:eastAsia="MS Mincho" w:hAnsi="Palatino Linotype" w:cstheme="majorBidi"/>
          <w:i/>
          <w:sz w:val="28"/>
          <w:szCs w:val="24"/>
          <w:lang w:eastAsia="es-ES"/>
        </w:rPr>
      </w:pPr>
    </w:p>
    <w:p w:rsidR="006E24FE" w:rsidRPr="00B50274" w:rsidRDefault="00C60860" w:rsidP="00A12261">
      <w:pPr>
        <w:pStyle w:val="Prrafodelista"/>
        <w:numPr>
          <w:ilvl w:val="0"/>
          <w:numId w:val="2"/>
        </w:numPr>
        <w:spacing w:after="0" w:line="360" w:lineRule="auto"/>
        <w:jc w:val="both"/>
        <w:rPr>
          <w:rFonts w:ascii="Palatino Linotype" w:hAnsi="Palatino Linotype" w:cs="Arial"/>
          <w:sz w:val="24"/>
          <w:lang w:eastAsia="es-MX"/>
        </w:rPr>
      </w:pPr>
      <w:proofErr w:type="spellStart"/>
      <w:r w:rsidRPr="00B50274">
        <w:rPr>
          <w:rFonts w:ascii="Palatino Linotype" w:hAnsi="Palatino Linotype" w:cs="Arial"/>
          <w:sz w:val="24"/>
          <w:lang w:eastAsia="es-MX"/>
        </w:rPr>
        <w:t>Ademas</w:t>
      </w:r>
      <w:proofErr w:type="spellEnd"/>
      <w:r w:rsidR="00A12261" w:rsidRPr="00B50274">
        <w:rPr>
          <w:rFonts w:ascii="Palatino Linotype" w:hAnsi="Palatino Linotype" w:cs="Arial"/>
          <w:sz w:val="24"/>
          <w:lang w:eastAsia="es-MX"/>
        </w:rPr>
        <w:t xml:space="preserve">, indicó que aún no cuenta con información del requerimiento y pago de la responsabilidad administrativa resarcitoria determinada en el expediente OSFEM/UAJ/PAR-IM/294/13, por no haber sido actualmente informada por las autoridades correspondientes; no obstante en términos de lo que establecen los artículos 167 y 173 fracción 111 de la Ley de Transparencia y Acceso a la Información Pública del Estado de México y Municipios, referentes al principio </w:t>
      </w:r>
      <w:r w:rsidR="00A12261" w:rsidRPr="00B50274">
        <w:rPr>
          <w:rFonts w:ascii="Palatino Linotype" w:hAnsi="Palatino Linotype" w:cs="Arial"/>
          <w:sz w:val="24"/>
          <w:lang w:eastAsia="es-MX"/>
        </w:rPr>
        <w:lastRenderedPageBreak/>
        <w:t xml:space="preserve">de auxilio y orientación a los particulares, le sugiere dirigir su petición al municipio de </w:t>
      </w:r>
      <w:proofErr w:type="spellStart"/>
      <w:r w:rsidR="00A12261" w:rsidRPr="00B50274">
        <w:rPr>
          <w:rFonts w:ascii="Palatino Linotype" w:hAnsi="Palatino Linotype" w:cs="Arial"/>
          <w:sz w:val="24"/>
          <w:lang w:eastAsia="es-MX"/>
        </w:rPr>
        <w:t>Xonacatlán</w:t>
      </w:r>
      <w:proofErr w:type="spellEnd"/>
      <w:r w:rsidR="00A12261" w:rsidRPr="00B50274">
        <w:rPr>
          <w:rFonts w:ascii="Palatino Linotype" w:hAnsi="Palatino Linotype" w:cs="Arial"/>
          <w:sz w:val="24"/>
          <w:lang w:eastAsia="es-MX"/>
        </w:rPr>
        <w:t>, México.</w:t>
      </w:r>
    </w:p>
    <w:p w:rsidR="00764F9E" w:rsidRPr="00B50274" w:rsidRDefault="00764F9E" w:rsidP="00764F9E">
      <w:pPr>
        <w:pStyle w:val="Prrafodelista"/>
        <w:rPr>
          <w:rFonts w:ascii="Palatino Linotype" w:hAnsi="Palatino Linotype" w:cs="Arial"/>
          <w:sz w:val="24"/>
          <w:lang w:eastAsia="es-MX"/>
        </w:rPr>
      </w:pPr>
    </w:p>
    <w:p w:rsidR="00764F9E" w:rsidRPr="00B50274" w:rsidRDefault="00C60860" w:rsidP="00C60860">
      <w:pPr>
        <w:pStyle w:val="Prrafodelista"/>
        <w:numPr>
          <w:ilvl w:val="0"/>
          <w:numId w:val="2"/>
        </w:numPr>
        <w:spacing w:after="0" w:line="360" w:lineRule="auto"/>
        <w:jc w:val="both"/>
        <w:rPr>
          <w:rFonts w:ascii="Palatino Linotype" w:hAnsi="Palatino Linotype" w:cs="Arial"/>
          <w:sz w:val="24"/>
          <w:lang w:eastAsia="es-MX"/>
        </w:rPr>
      </w:pPr>
      <w:r w:rsidRPr="00B50274">
        <w:rPr>
          <w:rFonts w:ascii="Palatino Linotype" w:hAnsi="Palatino Linotype" w:cs="Arial"/>
          <w:sz w:val="24"/>
          <w:lang w:eastAsia="es-MX"/>
        </w:rPr>
        <w:t xml:space="preserve">Inconforme con ello, el Recurrente interpuso recurso de revisión señalando como acto impugnado la respuesta y como razones o motivos de inconformidad que no se le hizo entrega de la información vía SAIMEX señalando que deberá de realizar un pago para que dicha información sea entregada.  </w:t>
      </w:r>
    </w:p>
    <w:p w:rsidR="00C60860" w:rsidRPr="00B50274" w:rsidRDefault="00C60860" w:rsidP="00C60860">
      <w:pPr>
        <w:pStyle w:val="Prrafodelista"/>
        <w:rPr>
          <w:rFonts w:ascii="Palatino Linotype" w:hAnsi="Palatino Linotype" w:cs="Arial"/>
          <w:sz w:val="24"/>
          <w:lang w:eastAsia="es-MX"/>
        </w:rPr>
      </w:pPr>
    </w:p>
    <w:p w:rsidR="00C60860" w:rsidRPr="00B50274" w:rsidRDefault="00C60860" w:rsidP="00C60860">
      <w:pPr>
        <w:pStyle w:val="Prrafodelista"/>
        <w:numPr>
          <w:ilvl w:val="0"/>
          <w:numId w:val="2"/>
        </w:numPr>
        <w:spacing w:after="0" w:line="360" w:lineRule="auto"/>
        <w:jc w:val="both"/>
        <w:rPr>
          <w:rFonts w:ascii="Palatino Linotype" w:hAnsi="Palatino Linotype" w:cs="Arial"/>
          <w:sz w:val="24"/>
          <w:lang w:eastAsia="es-MX"/>
        </w:rPr>
      </w:pPr>
      <w:r w:rsidRPr="00B50274">
        <w:rPr>
          <w:rFonts w:ascii="Palatino Linotype" w:hAnsi="Palatino Linotype" w:cs="Arial"/>
          <w:sz w:val="24"/>
          <w:lang w:eastAsia="es-MX"/>
        </w:rPr>
        <w:t>Finalmente, en Informe Justificado el Sujeto Obligado, ratificó su respuesta indicando que no niega la información, sino que es necesario efectuar el pago respectivo de derecho a fin de que se proceda a realizar la versión pública.</w:t>
      </w:r>
    </w:p>
    <w:p w:rsidR="00C60860" w:rsidRPr="00B50274" w:rsidRDefault="00C60860" w:rsidP="00C60860">
      <w:pPr>
        <w:pStyle w:val="Prrafodelista"/>
        <w:rPr>
          <w:rFonts w:ascii="Palatino Linotype" w:hAnsi="Palatino Linotype" w:cs="Arial"/>
          <w:sz w:val="24"/>
          <w:lang w:eastAsia="es-MX"/>
        </w:rPr>
      </w:pPr>
    </w:p>
    <w:p w:rsidR="00C60860" w:rsidRPr="00B50274" w:rsidRDefault="00C60860" w:rsidP="00C60860">
      <w:pPr>
        <w:pStyle w:val="Prrafodelista"/>
        <w:numPr>
          <w:ilvl w:val="0"/>
          <w:numId w:val="2"/>
        </w:numPr>
        <w:spacing w:after="0" w:line="360" w:lineRule="auto"/>
        <w:jc w:val="both"/>
        <w:rPr>
          <w:rFonts w:ascii="Palatino Linotype" w:hAnsi="Palatino Linotype" w:cs="Arial"/>
          <w:sz w:val="24"/>
          <w:lang w:eastAsia="es-MX"/>
        </w:rPr>
      </w:pPr>
      <w:r w:rsidRPr="00B50274">
        <w:rPr>
          <w:rFonts w:ascii="Palatino Linotype" w:hAnsi="Palatino Linotype" w:cs="Arial"/>
          <w:sz w:val="24"/>
          <w:lang w:eastAsia="es-MX"/>
        </w:rPr>
        <w:t xml:space="preserve">De tal manera que la </w:t>
      </w:r>
      <w:r w:rsidRPr="00B50274">
        <w:rPr>
          <w:rFonts w:ascii="Palatino Linotype" w:hAnsi="Palatino Linotype" w:cs="Arial"/>
          <w:sz w:val="24"/>
          <w:u w:val="single"/>
          <w:lang w:eastAsia="es-MX"/>
        </w:rPr>
        <w:t>Litis que ocupa a este recurso</w:t>
      </w:r>
      <w:r w:rsidRPr="00B50274">
        <w:rPr>
          <w:rFonts w:ascii="Palatino Linotype" w:hAnsi="Palatino Linotype" w:cs="Arial"/>
          <w:sz w:val="24"/>
          <w:lang w:eastAsia="es-MX"/>
        </w:rPr>
        <w:t>, se circunscribe a determinar si procede el cobro de derechos así como la competencia del Sujeto Obligado en contar con la información concerniente al requerimiento y pago de la responsabilidad administrativa resarcitoria determinada en el expediente OSFEM/UAJ/PAR-IM/294/13.</w:t>
      </w:r>
    </w:p>
    <w:p w:rsidR="00C60860" w:rsidRPr="00B50274" w:rsidRDefault="00C60860" w:rsidP="00C60860">
      <w:pPr>
        <w:pStyle w:val="Prrafodelista"/>
        <w:rPr>
          <w:rFonts w:ascii="Palatino Linotype" w:hAnsi="Palatino Linotype" w:cs="Arial"/>
          <w:sz w:val="24"/>
          <w:lang w:eastAsia="es-MX"/>
        </w:rPr>
      </w:pPr>
    </w:p>
    <w:p w:rsidR="000C3DDE" w:rsidRPr="00B50274" w:rsidRDefault="000C3DDE" w:rsidP="000C3DDE">
      <w:pPr>
        <w:numPr>
          <w:ilvl w:val="0"/>
          <w:numId w:val="2"/>
        </w:numPr>
        <w:spacing w:after="0" w:line="360" w:lineRule="auto"/>
        <w:ind w:left="426" w:right="49" w:hanging="426"/>
        <w:contextualSpacing/>
        <w:jc w:val="both"/>
        <w:rPr>
          <w:rFonts w:ascii="Palatino Linotype" w:eastAsia="MS Mincho" w:hAnsi="Palatino Linotype" w:cstheme="majorBidi"/>
          <w:i/>
          <w:sz w:val="24"/>
          <w:szCs w:val="24"/>
          <w:lang w:eastAsia="es-ES"/>
        </w:rPr>
      </w:pPr>
      <w:r w:rsidRPr="00B50274">
        <w:rPr>
          <w:rFonts w:ascii="Palatino Linotype" w:eastAsia="MS Mincho" w:hAnsi="Palatino Linotype" w:cstheme="majorBidi"/>
          <w:sz w:val="24"/>
          <w:szCs w:val="24"/>
          <w:lang w:val="es-ES_tradnl" w:eastAsia="es-ES"/>
        </w:rPr>
        <w:t xml:space="preserve">Por otro lado, resulta necesario señalar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 Sujeto Obligado debe ser cuidadoso del debido cumplimiento de las obligaciones constitucionales que se le imponen, </w:t>
      </w:r>
      <w:r w:rsidRPr="00B50274">
        <w:rPr>
          <w:rFonts w:ascii="Palatino Linotype" w:eastAsia="MS Mincho" w:hAnsi="Palatino Linotype" w:cstheme="majorBidi"/>
          <w:sz w:val="24"/>
          <w:szCs w:val="24"/>
          <w:lang w:val="es-ES_tradnl" w:eastAsia="es-ES"/>
        </w:rPr>
        <w:lastRenderedPageBreak/>
        <w:t>en consecuencia, a todas las autoridades, en el ámbito de su competencia, según lo dispone el tercer párrafo del artículo primero de la Constitución Política de los Estados Unidos Mexicanos al señalar la obligación de “promover, respetar, proteger y garantizar los derechos humanos”, entre los cuales se encuentra dicho derecho.</w:t>
      </w:r>
    </w:p>
    <w:p w:rsidR="000C3DDE" w:rsidRPr="00B50274" w:rsidRDefault="000C3DDE" w:rsidP="000C3DDE">
      <w:pPr>
        <w:spacing w:after="0" w:line="360" w:lineRule="auto"/>
        <w:ind w:left="426" w:right="49"/>
        <w:contextualSpacing/>
        <w:jc w:val="both"/>
        <w:rPr>
          <w:rFonts w:ascii="Palatino Linotype" w:eastAsia="MS Mincho" w:hAnsi="Palatino Linotype" w:cstheme="majorBidi"/>
          <w:i/>
          <w:sz w:val="24"/>
          <w:szCs w:val="24"/>
          <w:lang w:eastAsia="es-ES"/>
        </w:rPr>
      </w:pPr>
    </w:p>
    <w:p w:rsidR="000C3DDE" w:rsidRPr="00B50274" w:rsidRDefault="000C3DDE" w:rsidP="000C3DDE">
      <w:pPr>
        <w:numPr>
          <w:ilvl w:val="0"/>
          <w:numId w:val="2"/>
        </w:numPr>
        <w:spacing w:after="0" w:line="360" w:lineRule="auto"/>
        <w:ind w:left="426" w:right="49" w:hanging="426"/>
        <w:contextualSpacing/>
        <w:jc w:val="both"/>
        <w:rPr>
          <w:rFonts w:ascii="Palatino Linotype" w:eastAsia="MS Mincho" w:hAnsi="Palatino Linotype" w:cstheme="majorBidi"/>
          <w:i/>
          <w:sz w:val="24"/>
          <w:szCs w:val="24"/>
          <w:lang w:eastAsia="es-ES"/>
        </w:rPr>
      </w:pPr>
      <w:r w:rsidRPr="00B50274">
        <w:rPr>
          <w:rFonts w:ascii="Palatino Linotype" w:eastAsia="MS Mincho" w:hAnsi="Palatino Linotype" w:cstheme="majorBidi"/>
          <w:sz w:val="24"/>
          <w:szCs w:val="24"/>
          <w:lang w:val="es-ES" w:eastAsia="es-ES"/>
        </w:rPr>
        <w:t>Ahora bien el contenido del artículo 1 tercer párrafo de la Constitución Política de los Estados Unidos Mexicanos establece que “…</w:t>
      </w:r>
      <w:r w:rsidRPr="00B50274">
        <w:rPr>
          <w:rFonts w:ascii="Palatino Linotype" w:eastAsia="MS Mincho" w:hAnsi="Palatino Linotype" w:cstheme="majorBidi"/>
          <w:i/>
          <w:sz w:val="24"/>
          <w:szCs w:val="24"/>
          <w:u w:val="single"/>
          <w:lang w:val="es-ES" w:eastAsia="es-ES"/>
        </w:rPr>
        <w:t>Todas las autoridades</w:t>
      </w:r>
      <w:r w:rsidRPr="00B50274">
        <w:rPr>
          <w:rFonts w:ascii="Palatino Linotype" w:eastAsia="MS Mincho" w:hAnsi="Palatino Linotype" w:cstheme="majorBidi"/>
          <w:i/>
          <w:sz w:val="24"/>
          <w:szCs w:val="24"/>
          <w:lang w:val="es-ES" w:eastAsia="es-ES"/>
        </w:rPr>
        <w:t xml:space="preserve">, en el ámbito de sus competencias, </w:t>
      </w:r>
      <w:r w:rsidRPr="00B50274">
        <w:rPr>
          <w:rFonts w:ascii="Palatino Linotype" w:eastAsia="MS Mincho" w:hAnsi="Palatino Linotype" w:cstheme="majorBidi"/>
          <w:i/>
          <w:sz w:val="24"/>
          <w:szCs w:val="24"/>
          <w:u w:val="single"/>
          <w:lang w:val="es-ES" w:eastAsia="es-ES"/>
        </w:rPr>
        <w:t>tienen la obligación de promover, respetar, proteger y garantizar los derechos humanos de conformidad con los principios de universalidad, interdependencia, indivisibilidad y progresividad</w:t>
      </w:r>
      <w:r w:rsidRPr="00B50274">
        <w:rPr>
          <w:rFonts w:ascii="Palatino Linotype" w:eastAsia="MS Mincho" w:hAnsi="Palatino Linotype" w:cstheme="majorBidi"/>
          <w:i/>
          <w:sz w:val="24"/>
          <w:szCs w:val="24"/>
          <w:lang w:val="es-ES" w:eastAsia="es-ES"/>
        </w:rPr>
        <w:t xml:space="preserve">. En consecuencia, </w:t>
      </w:r>
      <w:r w:rsidRPr="00B50274">
        <w:rPr>
          <w:rFonts w:ascii="Palatino Linotype" w:eastAsia="MS Mincho" w:hAnsi="Palatino Linotype" w:cstheme="majorBidi"/>
          <w:i/>
          <w:sz w:val="24"/>
          <w:szCs w:val="24"/>
          <w:u w:val="single"/>
          <w:lang w:val="es-ES" w:eastAsia="es-ES"/>
        </w:rPr>
        <w:t>el Estado deberá prevenir, investigar, sancionar y reparar las violaciones a los derechos humanos, en los términos que establezca la ley</w:t>
      </w:r>
      <w:r w:rsidRPr="00B50274">
        <w:rPr>
          <w:rFonts w:ascii="Palatino Linotype" w:eastAsia="MS Mincho" w:hAnsi="Palatino Linotype" w:cstheme="majorBidi"/>
          <w:i/>
          <w:sz w:val="24"/>
          <w:szCs w:val="24"/>
          <w:lang w:val="es-ES" w:eastAsia="es-ES"/>
        </w:rPr>
        <w:t>.</w:t>
      </w:r>
      <w:r w:rsidRPr="00B50274">
        <w:rPr>
          <w:rFonts w:ascii="Palatino Linotype" w:eastAsia="MS Mincho" w:hAnsi="Palatino Linotype" w:cstheme="majorBidi"/>
          <w:sz w:val="24"/>
          <w:szCs w:val="24"/>
          <w:lang w:val="es-ES" w:eastAsia="es-ES"/>
        </w:rPr>
        <w:t>”.</w:t>
      </w:r>
    </w:p>
    <w:p w:rsidR="000C3DDE" w:rsidRPr="00B50274" w:rsidRDefault="000C3DDE" w:rsidP="000C3DDE">
      <w:pPr>
        <w:spacing w:after="0" w:line="360" w:lineRule="auto"/>
        <w:ind w:left="426" w:right="49"/>
        <w:contextualSpacing/>
        <w:jc w:val="both"/>
        <w:rPr>
          <w:rFonts w:ascii="Palatino Linotype" w:eastAsia="MS Mincho" w:hAnsi="Palatino Linotype" w:cstheme="majorBidi"/>
          <w:i/>
          <w:sz w:val="24"/>
          <w:szCs w:val="24"/>
          <w:lang w:eastAsia="es-ES"/>
        </w:rPr>
      </w:pPr>
    </w:p>
    <w:p w:rsidR="000C3DDE" w:rsidRPr="00B50274" w:rsidRDefault="000C3DDE" w:rsidP="000C3DDE">
      <w:pPr>
        <w:numPr>
          <w:ilvl w:val="0"/>
          <w:numId w:val="2"/>
        </w:numPr>
        <w:spacing w:after="0" w:line="360" w:lineRule="auto"/>
        <w:ind w:left="426" w:right="49" w:hanging="426"/>
        <w:contextualSpacing/>
        <w:jc w:val="both"/>
        <w:rPr>
          <w:rFonts w:ascii="Palatino Linotype" w:eastAsia="MS Mincho" w:hAnsi="Palatino Linotype" w:cstheme="majorBidi"/>
          <w:i/>
          <w:sz w:val="24"/>
          <w:szCs w:val="24"/>
          <w:lang w:val="es-ES" w:eastAsia="es-ES"/>
        </w:rPr>
      </w:pPr>
      <w:r w:rsidRPr="00B50274">
        <w:rPr>
          <w:rFonts w:ascii="Palatino Linotype" w:eastAsia="MS Mincho" w:hAnsi="Palatino Linotype" w:cstheme="majorBidi"/>
          <w:sz w:val="24"/>
          <w:szCs w:val="24"/>
          <w:lang w:eastAsia="es-ES"/>
        </w:rPr>
        <w:t xml:space="preserve">Por </w:t>
      </w:r>
      <w:r w:rsidRPr="00B50274">
        <w:rPr>
          <w:rFonts w:ascii="Palatino Linotype" w:eastAsia="MS Mincho" w:hAnsi="Palatino Linotype" w:cstheme="majorBidi"/>
          <w:sz w:val="24"/>
          <w:szCs w:val="24"/>
          <w:lang w:val="es-ES" w:eastAsia="es-ES"/>
        </w:rPr>
        <w:t>cuanto</w:t>
      </w:r>
      <w:r w:rsidRPr="00B50274">
        <w:rPr>
          <w:rFonts w:ascii="Palatino Linotype" w:eastAsia="MS Mincho" w:hAnsi="Palatino Linotype" w:cstheme="majorBidi"/>
          <w:sz w:val="24"/>
          <w:szCs w:val="24"/>
          <w:lang w:eastAsia="es-ES"/>
        </w:rPr>
        <w:t xml:space="preserve"> hace al contenido del artículo 6 segundo párrafo, apartado A. fracción I </w:t>
      </w:r>
      <w:r w:rsidRPr="00B50274">
        <w:rPr>
          <w:rFonts w:ascii="Palatino Linotype" w:eastAsia="MS Mincho" w:hAnsi="Palatino Linotype" w:cstheme="majorBidi"/>
          <w:sz w:val="24"/>
          <w:szCs w:val="24"/>
          <w:lang w:val="es-ES" w:eastAsia="es-ES"/>
        </w:rPr>
        <w:t xml:space="preserve">de la Constitución Política de los Estados Unidos Mexicanos el cual establece </w:t>
      </w:r>
      <w:r w:rsidRPr="00B50274">
        <w:rPr>
          <w:rFonts w:ascii="Palatino Linotype" w:eastAsia="MS Mincho" w:hAnsi="Palatino Linotype" w:cstheme="majorBidi"/>
          <w:sz w:val="24"/>
          <w:szCs w:val="24"/>
          <w:lang w:eastAsia="es-ES"/>
        </w:rPr>
        <w:t xml:space="preserve">que </w:t>
      </w:r>
      <w:r w:rsidRPr="00B50274">
        <w:rPr>
          <w:rFonts w:ascii="Palatino Linotype" w:eastAsia="MS Mincho" w:hAnsi="Palatino Linotype" w:cstheme="majorBidi"/>
          <w:i/>
          <w:sz w:val="24"/>
          <w:szCs w:val="24"/>
          <w:lang w:val="es-ES" w:eastAsia="es-ES"/>
        </w:rPr>
        <w:t>“</w:t>
      </w:r>
      <w:r w:rsidRPr="00B50274">
        <w:rPr>
          <w:rFonts w:ascii="Palatino Linotype" w:eastAsia="MS Mincho" w:hAnsi="Palatino Linotype" w:cstheme="majorBidi"/>
          <w:i/>
          <w:sz w:val="24"/>
          <w:szCs w:val="24"/>
          <w:u w:val="single"/>
          <w:lang w:val="es-ES" w:eastAsia="es-ES"/>
        </w:rPr>
        <w:t>Toda la información en posesión de cualquier autoridad</w:t>
      </w:r>
      <w:r w:rsidRPr="00B50274">
        <w:rPr>
          <w:rFonts w:ascii="Palatino Linotype" w:eastAsia="MS Mincho" w:hAnsi="Palatino Linotype" w:cstheme="majorBidi"/>
          <w:i/>
          <w:sz w:val="24"/>
          <w:szCs w:val="24"/>
          <w:lang w:val="es-ES" w:eastAsia="es-ES"/>
        </w:rPr>
        <w:t>,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B50274">
        <w:rPr>
          <w:rFonts w:ascii="Palatino Linotype" w:eastAsia="MS Mincho" w:hAnsi="Palatino Linotype" w:cstheme="majorBidi"/>
          <w:i/>
          <w:sz w:val="24"/>
          <w:szCs w:val="24"/>
          <w:u w:val="single"/>
          <w:lang w:val="es-ES" w:eastAsia="es-ES"/>
        </w:rPr>
        <w:t>, es pública</w:t>
      </w:r>
      <w:r w:rsidRPr="00B50274">
        <w:rPr>
          <w:rFonts w:ascii="Palatino Linotype" w:eastAsia="MS Mincho" w:hAnsi="Palatino Linotype" w:cstheme="majorBidi"/>
          <w:i/>
          <w:sz w:val="24"/>
          <w:szCs w:val="24"/>
          <w:lang w:val="es-ES" w:eastAsia="es-ES"/>
        </w:rPr>
        <w:t xml:space="preserve"> y sólo podrá ser reservada temporalmente por razones de interés público y seguridad nacional, en los términos que fijen las leyes. En la interpretación de este derecho </w:t>
      </w:r>
      <w:r w:rsidRPr="00B50274">
        <w:rPr>
          <w:rFonts w:ascii="Palatino Linotype" w:eastAsia="MS Mincho" w:hAnsi="Palatino Linotype" w:cstheme="majorBidi"/>
          <w:i/>
          <w:sz w:val="24"/>
          <w:szCs w:val="24"/>
          <w:u w:val="single"/>
          <w:lang w:val="es-ES" w:eastAsia="es-ES"/>
        </w:rPr>
        <w:t>deberá prevalecer el principio de máxima publicidad</w:t>
      </w:r>
      <w:r w:rsidRPr="00B50274">
        <w:rPr>
          <w:rFonts w:ascii="Palatino Linotype" w:eastAsia="MS Mincho" w:hAnsi="Palatino Linotype" w:cstheme="majorBidi"/>
          <w:i/>
          <w:sz w:val="24"/>
          <w:szCs w:val="24"/>
          <w:lang w:val="es-ES" w:eastAsia="es-ES"/>
        </w:rPr>
        <w:t xml:space="preserve">. </w:t>
      </w:r>
      <w:r w:rsidRPr="00B50274">
        <w:rPr>
          <w:rFonts w:ascii="Palatino Linotype" w:eastAsia="MS Mincho" w:hAnsi="Palatino Linotype" w:cstheme="majorBidi"/>
          <w:i/>
          <w:sz w:val="24"/>
          <w:szCs w:val="24"/>
          <w:u w:val="single"/>
          <w:lang w:val="es-ES" w:eastAsia="es-ES"/>
        </w:rPr>
        <w:t xml:space="preserve">Los sujetos obligados deberán documentar todo acto que derive del </w:t>
      </w:r>
      <w:r w:rsidRPr="00B50274">
        <w:rPr>
          <w:rFonts w:ascii="Palatino Linotype" w:eastAsia="MS Mincho" w:hAnsi="Palatino Linotype" w:cstheme="majorBidi"/>
          <w:i/>
          <w:sz w:val="24"/>
          <w:szCs w:val="24"/>
          <w:u w:val="single"/>
          <w:lang w:val="es-ES" w:eastAsia="es-ES"/>
        </w:rPr>
        <w:lastRenderedPageBreak/>
        <w:t>ejercicio de sus facultades, competencias o funciones, la ley determinará los supuestos específicos bajo los cuales procederá la declaración de inexistencia de la información</w:t>
      </w:r>
      <w:r w:rsidRPr="00B50274">
        <w:rPr>
          <w:rFonts w:ascii="Palatino Linotype" w:eastAsia="MS Mincho" w:hAnsi="Palatino Linotype" w:cstheme="majorBidi"/>
          <w:i/>
          <w:sz w:val="24"/>
          <w:szCs w:val="24"/>
          <w:lang w:val="es-ES" w:eastAsia="es-ES"/>
        </w:rPr>
        <w:t>.”.</w:t>
      </w:r>
    </w:p>
    <w:p w:rsidR="000C3DDE" w:rsidRPr="00B50274" w:rsidRDefault="000C3DDE" w:rsidP="000C3DDE">
      <w:pPr>
        <w:spacing w:after="0" w:line="360" w:lineRule="auto"/>
        <w:ind w:left="426" w:right="49"/>
        <w:contextualSpacing/>
        <w:jc w:val="both"/>
        <w:rPr>
          <w:rFonts w:ascii="Palatino Linotype" w:eastAsia="MS Mincho" w:hAnsi="Palatino Linotype" w:cstheme="majorBidi"/>
          <w:i/>
          <w:sz w:val="24"/>
          <w:szCs w:val="24"/>
          <w:lang w:eastAsia="es-ES"/>
        </w:rPr>
      </w:pPr>
    </w:p>
    <w:p w:rsidR="000C3DDE" w:rsidRPr="00B50274" w:rsidRDefault="000C3DDE" w:rsidP="000C3DDE">
      <w:pPr>
        <w:numPr>
          <w:ilvl w:val="0"/>
          <w:numId w:val="2"/>
        </w:numPr>
        <w:spacing w:after="0" w:line="360" w:lineRule="auto"/>
        <w:ind w:left="426" w:right="49" w:hanging="426"/>
        <w:contextualSpacing/>
        <w:jc w:val="both"/>
        <w:rPr>
          <w:rFonts w:ascii="Palatino Linotype" w:eastAsia="MS Mincho" w:hAnsi="Palatino Linotype" w:cstheme="majorBidi"/>
          <w:i/>
          <w:sz w:val="24"/>
          <w:szCs w:val="24"/>
          <w:lang w:eastAsia="es-ES"/>
        </w:rPr>
      </w:pPr>
      <w:r w:rsidRPr="00B50274">
        <w:rPr>
          <w:rFonts w:ascii="Palatino Linotype" w:eastAsia="MS Mincho" w:hAnsi="Palatino Linotype" w:cstheme="majorBidi"/>
          <w:sz w:val="24"/>
          <w:szCs w:val="24"/>
          <w:lang w:val="es-ES_tradnl" w:eastAsia="es-ES"/>
        </w:rPr>
        <w:t xml:space="preserve">Luego entonces, el acceso a la información pública es el derecho humano a través del cual se puede </w:t>
      </w:r>
      <w:r w:rsidRPr="00B50274">
        <w:rPr>
          <w:rFonts w:ascii="Palatino Linotype" w:eastAsia="MS Mincho" w:hAnsi="Palatino Linotype" w:cstheme="majorBidi"/>
          <w:sz w:val="24"/>
          <w:szCs w:val="24"/>
          <w:lang w:val="es-ES" w:eastAsia="es-ES"/>
        </w:rPr>
        <w:t>solicitar</w:t>
      </w:r>
      <w:r w:rsidRPr="00B50274">
        <w:rPr>
          <w:rFonts w:ascii="Palatino Linotype" w:eastAsia="MS Mincho" w:hAnsi="Palatino Linotype" w:cstheme="majorBidi"/>
          <w:sz w:val="24"/>
          <w:szCs w:val="24"/>
          <w:lang w:val="es-ES_tradnl" w:eastAsia="es-ES"/>
        </w:rPr>
        <w:t xml:space="preserve"> a aquella información pública que generen, administren o posean las autoridades, quienes están obligados a documentar todo acto que derive sus facultades, atribuciones y competencias, siempre prevaleciendo el principio de máxima publicidad.</w:t>
      </w:r>
    </w:p>
    <w:p w:rsidR="00A24943" w:rsidRPr="00B50274" w:rsidRDefault="00A24943" w:rsidP="00A24943">
      <w:pPr>
        <w:pStyle w:val="Prrafodelista"/>
        <w:rPr>
          <w:rFonts w:ascii="Palatino Linotype" w:eastAsia="MS Mincho" w:hAnsi="Palatino Linotype" w:cstheme="majorBidi"/>
          <w:i/>
          <w:sz w:val="24"/>
          <w:szCs w:val="24"/>
          <w:lang w:eastAsia="es-ES"/>
        </w:rPr>
      </w:pPr>
    </w:p>
    <w:p w:rsidR="000C3DDE" w:rsidRPr="00B50274" w:rsidRDefault="000C3DDE" w:rsidP="000C3DDE">
      <w:pPr>
        <w:pStyle w:val="Prrafodelista"/>
        <w:rPr>
          <w:rFonts w:ascii="Palatino Linotype" w:eastAsia="MS Mincho" w:hAnsi="Palatino Linotype" w:cstheme="majorBidi"/>
          <w:i/>
          <w:sz w:val="24"/>
          <w:szCs w:val="24"/>
          <w:lang w:eastAsia="es-ES"/>
        </w:rPr>
      </w:pPr>
    </w:p>
    <w:p w:rsidR="003D02D4" w:rsidRPr="00B50274" w:rsidRDefault="003D02D4" w:rsidP="00505804">
      <w:pPr>
        <w:keepNext/>
        <w:keepLines/>
        <w:spacing w:before="240" w:after="0"/>
        <w:outlineLvl w:val="0"/>
        <w:rPr>
          <w:rFonts w:ascii="Palatino Linotype" w:hAnsi="Palatino Linotype"/>
          <w:sz w:val="24"/>
          <w:szCs w:val="24"/>
        </w:rPr>
      </w:pPr>
      <w:bookmarkStart w:id="10" w:name="_Toc519166205"/>
      <w:bookmarkStart w:id="11" w:name="_Toc521603649"/>
      <w:r w:rsidRPr="00B50274">
        <w:rPr>
          <w:rFonts w:ascii="Palatino Linotype" w:eastAsia="MS Mincho" w:hAnsi="Palatino Linotype" w:cstheme="majorBidi"/>
          <w:b/>
          <w:sz w:val="24"/>
          <w:szCs w:val="24"/>
          <w:lang w:val="es-ES_tradnl" w:eastAsia="es-ES"/>
        </w:rPr>
        <w:t>CUARTO</w:t>
      </w:r>
      <w:r w:rsidRPr="00B50274">
        <w:rPr>
          <w:rFonts w:ascii="Palatino Linotype" w:hAnsi="Palatino Linotype"/>
          <w:b/>
          <w:sz w:val="24"/>
          <w:szCs w:val="24"/>
        </w:rPr>
        <w:t>. Estudio y resolución del asunto</w:t>
      </w:r>
      <w:r w:rsidRPr="00B50274">
        <w:rPr>
          <w:rFonts w:ascii="Palatino Linotype" w:hAnsi="Palatino Linotype"/>
          <w:sz w:val="24"/>
          <w:szCs w:val="24"/>
        </w:rPr>
        <w:t>.</w:t>
      </w:r>
      <w:bookmarkEnd w:id="10"/>
      <w:bookmarkEnd w:id="11"/>
    </w:p>
    <w:p w:rsidR="003D02D4" w:rsidRPr="00B50274" w:rsidRDefault="003D02D4" w:rsidP="003D02D4">
      <w:pPr>
        <w:pStyle w:val="Prrafodelista"/>
        <w:rPr>
          <w:rFonts w:ascii="Palatino Linotype" w:hAnsi="Palatino Linotype" w:cs="Arial"/>
          <w:lang w:eastAsia="es-MX"/>
        </w:rPr>
      </w:pPr>
    </w:p>
    <w:p w:rsidR="003D02D4" w:rsidRPr="00B50274" w:rsidRDefault="00C60860" w:rsidP="00C60860">
      <w:pPr>
        <w:numPr>
          <w:ilvl w:val="0"/>
          <w:numId w:val="2"/>
        </w:numPr>
        <w:tabs>
          <w:tab w:val="left" w:pos="426"/>
        </w:tabs>
        <w:autoSpaceDE w:val="0"/>
        <w:autoSpaceDN w:val="0"/>
        <w:adjustRightInd w:val="0"/>
        <w:spacing w:before="240" w:after="240" w:line="360" w:lineRule="auto"/>
        <w:ind w:right="-141"/>
        <w:contextualSpacing/>
        <w:jc w:val="both"/>
        <w:rPr>
          <w:rFonts w:ascii="Palatino Linotype" w:eastAsia="Arial Unicode MS" w:hAnsi="Palatino Linotype" w:cs="Arial"/>
          <w:sz w:val="24"/>
        </w:rPr>
      </w:pPr>
      <w:r w:rsidRPr="00B50274">
        <w:rPr>
          <w:rFonts w:ascii="Palatino Linotype" w:hAnsi="Palatino Linotype" w:cs="Arial"/>
          <w:sz w:val="24"/>
        </w:rPr>
        <w:t>Derivado de lo anterior, se omite el estudio de la naturaleza jurídica de la información solicitada en los numerales 1, 2, 3 y 4, en virtud de que el Sujeto Obligado tanto en su respuesta como en su Informe Justificado asume contar con la información, tan es así, que señala que se deberán de cubrir los gastos que se generen por escaneo  y digitalización; por lo que, en aquellos casos en que éste la asume, ello implica que la genera, posee o administra, por consiguiente, a nada práctico nos conduciría su estudio, ya que se insiste la información pública solicitada, fue asumida por el Sujeto Obligado.</w:t>
      </w:r>
    </w:p>
    <w:p w:rsidR="003D02D4" w:rsidRPr="00B50274" w:rsidRDefault="00C60860" w:rsidP="003D02D4">
      <w:pPr>
        <w:pStyle w:val="Prrafodelista"/>
        <w:numPr>
          <w:ilvl w:val="0"/>
          <w:numId w:val="2"/>
        </w:numPr>
        <w:tabs>
          <w:tab w:val="left" w:pos="709"/>
        </w:tabs>
        <w:spacing w:after="0" w:line="360" w:lineRule="auto"/>
        <w:ind w:left="426" w:hanging="426"/>
        <w:jc w:val="both"/>
        <w:rPr>
          <w:rFonts w:ascii="Palatino Linotype" w:eastAsia="Arial Unicode MS" w:hAnsi="Palatino Linotype" w:cs="Arial"/>
          <w:sz w:val="24"/>
        </w:rPr>
      </w:pPr>
      <w:r w:rsidRPr="00B50274">
        <w:rPr>
          <w:rFonts w:ascii="Palatino Linotype" w:hAnsi="Palatino Linotype" w:cs="Arial"/>
          <w:sz w:val="24"/>
          <w:lang w:val="es-ES_tradnl"/>
        </w:rPr>
        <w:t xml:space="preserve">Es así que, </w:t>
      </w:r>
      <w:r w:rsidR="003D02D4" w:rsidRPr="00B50274">
        <w:rPr>
          <w:rFonts w:ascii="Palatino Linotype" w:hAnsi="Palatino Linotype" w:cs="Arial"/>
          <w:sz w:val="24"/>
          <w:lang w:val="es-ES_tradnl"/>
        </w:rPr>
        <w:t xml:space="preserve">es de </w:t>
      </w:r>
      <w:r w:rsidR="003D02D4" w:rsidRPr="00B50274">
        <w:rPr>
          <w:rFonts w:ascii="Palatino Linotype" w:hAnsi="Palatino Linotype" w:cs="Arial"/>
          <w:sz w:val="24"/>
        </w:rPr>
        <w:t>señalar que el artículo 4, párrafo segundo de la Ley de Transparencia y Acceso a la Información Pública del Estado de México y Municipios, dispone:</w:t>
      </w:r>
    </w:p>
    <w:p w:rsidR="003D02D4" w:rsidRPr="00B50274" w:rsidRDefault="003D02D4" w:rsidP="003D02D4">
      <w:pPr>
        <w:ind w:left="851" w:right="901"/>
        <w:jc w:val="both"/>
        <w:rPr>
          <w:rFonts w:ascii="Palatino Linotype" w:hAnsi="Palatino Linotype" w:cs="Arial"/>
        </w:rPr>
      </w:pPr>
    </w:p>
    <w:p w:rsidR="003D02D4" w:rsidRPr="00B50274" w:rsidRDefault="003D02D4" w:rsidP="003D02D4">
      <w:pPr>
        <w:ind w:left="851" w:right="901"/>
        <w:jc w:val="both"/>
        <w:rPr>
          <w:rFonts w:ascii="Palatino Linotype" w:hAnsi="Palatino Linotype" w:cs="Arial"/>
          <w:i/>
        </w:rPr>
      </w:pPr>
      <w:r w:rsidRPr="00B50274">
        <w:rPr>
          <w:rFonts w:ascii="Palatino Linotype" w:hAnsi="Palatino Linotype" w:cs="Arial"/>
          <w:i/>
        </w:rPr>
        <w:lastRenderedPageBreak/>
        <w:t>“</w:t>
      </w:r>
      <w:r w:rsidRPr="00B50274">
        <w:rPr>
          <w:rFonts w:ascii="Palatino Linotype" w:hAnsi="Palatino Linotype" w:cs="Arial"/>
          <w:b/>
          <w:i/>
        </w:rPr>
        <w:t xml:space="preserve">Artículo 4. </w:t>
      </w:r>
      <w:r w:rsidRPr="00B50274">
        <w:rPr>
          <w:rFonts w:ascii="Palatino Linotype" w:hAnsi="Palatino Linotype" w:cs="Arial"/>
          <w:i/>
        </w:rPr>
        <w:t xml:space="preserve">… </w:t>
      </w:r>
    </w:p>
    <w:p w:rsidR="003D02D4" w:rsidRPr="00B50274" w:rsidRDefault="003D02D4" w:rsidP="003D02D4">
      <w:pPr>
        <w:ind w:left="851" w:right="901"/>
        <w:jc w:val="both"/>
        <w:rPr>
          <w:rFonts w:ascii="Palatino Linotype" w:hAnsi="Palatino Linotype" w:cs="Arial"/>
          <w:i/>
        </w:rPr>
      </w:pPr>
      <w:r w:rsidRPr="00B50274">
        <w:rPr>
          <w:rFonts w:ascii="Palatino Linotype" w:hAnsi="Palatino Linotype" w:cs="Arial"/>
          <w:i/>
        </w:rPr>
        <w:t xml:space="preserve"> Toda la </w:t>
      </w:r>
      <w:r w:rsidRPr="00B50274">
        <w:rPr>
          <w:rFonts w:ascii="Palatino Linotype" w:hAnsi="Palatino Linotype" w:cs="Arial"/>
          <w:i/>
          <w:u w:val="single"/>
        </w:rPr>
        <w:t>información generada</w:t>
      </w:r>
      <w:r w:rsidRPr="00B50274">
        <w:rPr>
          <w:rFonts w:ascii="Palatino Linotype" w:hAnsi="Palatino Linotype" w:cs="Arial"/>
          <w:i/>
        </w:rPr>
        <w:t xml:space="preserve">, obtenida, adquirida, transformada, </w:t>
      </w:r>
      <w:r w:rsidRPr="00B50274">
        <w:rPr>
          <w:rFonts w:ascii="Palatino Linotype" w:hAnsi="Palatino Linotype" w:cs="Arial"/>
          <w:i/>
          <w:u w:val="single"/>
        </w:rPr>
        <w:t>administrada o en posesión de los sujetos obligados es pública y accesible de manera permanente a cualquier persona, en los términos y condiciones que se establezcan en los tratados internacionales de los que el Estado mexicano sea parte, en la Ley General</w:t>
      </w:r>
      <w:r w:rsidRPr="00B50274">
        <w:rPr>
          <w:rFonts w:ascii="Palatino Linotype" w:hAnsi="Palatino Linotype" w:cs="Arial"/>
          <w:i/>
        </w:rPr>
        <w:t xml:space="preserve">,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3D02D4" w:rsidRPr="00B50274" w:rsidRDefault="003D02D4" w:rsidP="003D02D4">
      <w:pPr>
        <w:ind w:left="851" w:right="901"/>
        <w:jc w:val="both"/>
        <w:rPr>
          <w:rFonts w:ascii="Palatino Linotype" w:hAnsi="Palatino Linotype" w:cs="Arial"/>
          <w:i/>
        </w:rPr>
      </w:pPr>
      <w:r w:rsidRPr="00B50274">
        <w:rPr>
          <w:rFonts w:ascii="Palatino Linotype" w:hAnsi="Palatino Linotype" w:cs="Arial"/>
          <w:i/>
        </w:rPr>
        <w:t xml:space="preserve"> ...”</w:t>
      </w:r>
    </w:p>
    <w:p w:rsidR="003D02D4" w:rsidRPr="00B50274" w:rsidRDefault="003D02D4" w:rsidP="00C60860">
      <w:pPr>
        <w:spacing w:line="240" w:lineRule="auto"/>
        <w:ind w:left="851" w:right="901"/>
        <w:jc w:val="both"/>
        <w:rPr>
          <w:rFonts w:ascii="Palatino Linotype" w:hAnsi="Palatino Linotype" w:cs="Arial"/>
          <w:i/>
        </w:rPr>
      </w:pPr>
    </w:p>
    <w:p w:rsidR="003D02D4" w:rsidRPr="00B50274" w:rsidRDefault="003D02D4" w:rsidP="003D02D4">
      <w:pPr>
        <w:pStyle w:val="Prrafodelista"/>
        <w:numPr>
          <w:ilvl w:val="0"/>
          <w:numId w:val="2"/>
        </w:numPr>
        <w:tabs>
          <w:tab w:val="left" w:pos="709"/>
        </w:tabs>
        <w:spacing w:after="0" w:line="360" w:lineRule="auto"/>
        <w:ind w:left="426" w:hanging="426"/>
        <w:jc w:val="both"/>
        <w:rPr>
          <w:rFonts w:ascii="Palatino Linotype" w:hAnsi="Palatino Linotype" w:cs="Arial"/>
          <w:sz w:val="24"/>
          <w:lang w:val="es-ES_tradnl"/>
        </w:rPr>
      </w:pPr>
      <w:r w:rsidRPr="00B50274">
        <w:rPr>
          <w:rFonts w:ascii="Palatino Linotype" w:hAnsi="Palatino Linotype" w:cs="Arial"/>
          <w:sz w:val="24"/>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rsidR="003D02D4" w:rsidRPr="00B50274" w:rsidRDefault="003D02D4" w:rsidP="003D02D4">
      <w:pPr>
        <w:pStyle w:val="Prrafodelista"/>
        <w:tabs>
          <w:tab w:val="left" w:pos="709"/>
        </w:tabs>
        <w:spacing w:line="360" w:lineRule="auto"/>
        <w:ind w:left="426"/>
        <w:jc w:val="both"/>
        <w:rPr>
          <w:rFonts w:ascii="Palatino Linotype" w:hAnsi="Palatino Linotype" w:cs="Arial"/>
          <w:lang w:val="es-ES_tradnl"/>
        </w:rPr>
      </w:pPr>
    </w:p>
    <w:p w:rsidR="003D02D4" w:rsidRPr="00B50274" w:rsidRDefault="003D02D4" w:rsidP="003D02D4">
      <w:pPr>
        <w:pStyle w:val="Prrafodelista"/>
        <w:numPr>
          <w:ilvl w:val="0"/>
          <w:numId w:val="2"/>
        </w:numPr>
        <w:tabs>
          <w:tab w:val="left" w:pos="709"/>
        </w:tabs>
        <w:spacing w:after="0" w:line="360" w:lineRule="auto"/>
        <w:ind w:left="426" w:hanging="426"/>
        <w:jc w:val="both"/>
        <w:rPr>
          <w:rFonts w:ascii="Palatino Linotype" w:hAnsi="Palatino Linotype" w:cs="Arial"/>
          <w:sz w:val="24"/>
        </w:rPr>
      </w:pPr>
      <w:r w:rsidRPr="00B50274">
        <w:rPr>
          <w:rFonts w:ascii="Palatino Linotype" w:hAnsi="Palatino Linotype" w:cs="Arial"/>
          <w:sz w:val="24"/>
        </w:rPr>
        <w:t>En síntesis, el derecho de acceso a la información pública se satisface en aquellos casos en que se entregue el soporte documental en que conste la información pública, asimismo,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3D02D4" w:rsidRPr="00B50274" w:rsidRDefault="003D02D4" w:rsidP="003D02D4">
      <w:pPr>
        <w:pStyle w:val="Prrafodelista"/>
        <w:tabs>
          <w:tab w:val="left" w:pos="709"/>
        </w:tabs>
        <w:spacing w:line="360" w:lineRule="auto"/>
        <w:ind w:left="426"/>
        <w:jc w:val="both"/>
        <w:rPr>
          <w:rFonts w:ascii="Palatino Linotype" w:hAnsi="Palatino Linotype" w:cs="Arial"/>
        </w:rPr>
      </w:pPr>
    </w:p>
    <w:p w:rsidR="003D02D4" w:rsidRPr="00B50274" w:rsidRDefault="003D02D4" w:rsidP="003D02D4">
      <w:pPr>
        <w:pStyle w:val="Prrafodelista"/>
        <w:numPr>
          <w:ilvl w:val="0"/>
          <w:numId w:val="2"/>
        </w:numPr>
        <w:tabs>
          <w:tab w:val="left" w:pos="709"/>
        </w:tabs>
        <w:spacing w:after="0" w:line="360" w:lineRule="auto"/>
        <w:ind w:left="426" w:hanging="426"/>
        <w:jc w:val="both"/>
        <w:rPr>
          <w:rFonts w:ascii="Palatino Linotype" w:hAnsi="Palatino Linotype" w:cs="Arial"/>
          <w:sz w:val="24"/>
        </w:rPr>
      </w:pPr>
      <w:r w:rsidRPr="00B50274">
        <w:rPr>
          <w:rFonts w:ascii="Palatino Linotype" w:hAnsi="Palatino Linotype" w:cs="Arial"/>
          <w:sz w:val="24"/>
        </w:rPr>
        <w:t xml:space="preserve">En esta misma tesitura, el derecho de acceso a la información pública, consiste en que la información solicitada conste en un soporte documental en cualquiera </w:t>
      </w:r>
      <w:r w:rsidRPr="00B50274">
        <w:rPr>
          <w:rFonts w:ascii="Palatino Linotype" w:hAnsi="Palatino Linotype" w:cs="Arial"/>
          <w:sz w:val="24"/>
        </w:rPr>
        <w:lastRenderedPageBreak/>
        <w:t xml:space="preserve">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3D02D4" w:rsidRPr="00B50274" w:rsidRDefault="003D02D4" w:rsidP="003D02D4">
      <w:pPr>
        <w:ind w:left="851" w:right="850"/>
        <w:jc w:val="both"/>
        <w:rPr>
          <w:rFonts w:ascii="Palatino Linotype" w:hAnsi="Palatino Linotype" w:cs="Arial"/>
          <w:i/>
        </w:rPr>
      </w:pPr>
    </w:p>
    <w:p w:rsidR="003D02D4" w:rsidRPr="00B50274" w:rsidRDefault="003D02D4" w:rsidP="003D02D4">
      <w:pPr>
        <w:ind w:left="851" w:right="901"/>
        <w:jc w:val="both"/>
        <w:rPr>
          <w:rFonts w:ascii="Palatino Linotype" w:hAnsi="Palatino Linotype" w:cs="Arial"/>
          <w:i/>
        </w:rPr>
      </w:pPr>
      <w:r w:rsidRPr="00B50274">
        <w:rPr>
          <w:rFonts w:ascii="Palatino Linotype" w:hAnsi="Palatino Linotype" w:cs="Arial"/>
          <w:i/>
        </w:rPr>
        <w:t>“</w:t>
      </w:r>
      <w:r w:rsidRPr="00B50274">
        <w:rPr>
          <w:rFonts w:ascii="Palatino Linotype" w:hAnsi="Palatino Linotype" w:cs="Arial"/>
          <w:b/>
          <w:i/>
        </w:rPr>
        <w:t xml:space="preserve">Artículo 3. </w:t>
      </w:r>
      <w:r w:rsidRPr="00B50274">
        <w:rPr>
          <w:rFonts w:ascii="Palatino Linotype" w:hAnsi="Palatino Linotype" w:cs="Arial"/>
          <w:i/>
        </w:rPr>
        <w:t>Para los efectos de la presente Ley se entenderá por:</w:t>
      </w:r>
    </w:p>
    <w:p w:rsidR="003D02D4" w:rsidRPr="00B50274" w:rsidRDefault="003D02D4" w:rsidP="003D02D4">
      <w:pPr>
        <w:ind w:left="851" w:right="850"/>
        <w:jc w:val="both"/>
        <w:rPr>
          <w:rFonts w:ascii="Palatino Linotype" w:hAnsi="Palatino Linotype" w:cs="Arial"/>
          <w:i/>
        </w:rPr>
      </w:pPr>
      <w:r w:rsidRPr="00B50274">
        <w:rPr>
          <w:rFonts w:ascii="Palatino Linotype" w:hAnsi="Palatino Linotype" w:cs="Arial"/>
          <w:i/>
        </w:rPr>
        <w:t>…</w:t>
      </w:r>
    </w:p>
    <w:p w:rsidR="003D02D4" w:rsidRPr="00B50274" w:rsidRDefault="003D02D4" w:rsidP="003D02D4">
      <w:pPr>
        <w:ind w:left="851" w:right="901"/>
        <w:jc w:val="both"/>
        <w:rPr>
          <w:rFonts w:ascii="Palatino Linotype" w:hAnsi="Palatino Linotype" w:cs="Arial"/>
          <w:i/>
        </w:rPr>
      </w:pPr>
      <w:r w:rsidRPr="00B50274">
        <w:rPr>
          <w:rFonts w:ascii="Palatino Linotype" w:hAnsi="Palatino Linotype" w:cs="Arial"/>
          <w:b/>
          <w:i/>
        </w:rPr>
        <w:t>XI. Documento:</w:t>
      </w:r>
      <w:r w:rsidRPr="00B50274">
        <w:rPr>
          <w:rFonts w:ascii="Palatino Linotype" w:hAnsi="Palatino Linotype" w:cs="Arial"/>
          <w:i/>
        </w:rPr>
        <w:t xml:space="preserve"> Los expedientes, reportes, estudios, </w:t>
      </w:r>
      <w:r w:rsidRPr="00B50274">
        <w:rPr>
          <w:rFonts w:ascii="Palatino Linotype" w:hAnsi="Palatino Linotype" w:cs="Arial"/>
          <w:i/>
          <w:u w:val="single"/>
        </w:rPr>
        <w:t>actas</w:t>
      </w:r>
      <w:r w:rsidRPr="00B50274">
        <w:rPr>
          <w:rFonts w:ascii="Palatino Linotype" w:hAnsi="Palatino Linotype" w:cs="Arial"/>
          <w:i/>
        </w:rPr>
        <w:t xml:space="preserve">, resoluciones, </w:t>
      </w:r>
      <w:r w:rsidRPr="00B50274">
        <w:rPr>
          <w:rFonts w:ascii="Palatino Linotype" w:hAnsi="Palatino Linotype" w:cs="Arial"/>
          <w:i/>
          <w:u w:val="single"/>
        </w:rPr>
        <w:t>oficios</w:t>
      </w:r>
      <w:r w:rsidRPr="00B50274">
        <w:rPr>
          <w:rFonts w:ascii="Palatino Linotype" w:hAnsi="Palatino Linotype" w:cs="Arial"/>
          <w:i/>
        </w:rPr>
        <w:t xml:space="preserve">, correspondencia, acuerdos, directivas, directrices, circulares, contratos, convenios, instructivos, notas, memorandos, estadísticas o bien, cualquier otro </w:t>
      </w:r>
      <w:r w:rsidRPr="00B50274">
        <w:rPr>
          <w:rFonts w:ascii="Palatino Linotype" w:hAnsi="Palatino Linotype" w:cs="Arial"/>
          <w:i/>
          <w:u w:val="single"/>
        </w:rPr>
        <w:t>registro que documente el ejercicio de las facultades, funciones y competencias de los sujetos obligados,</w:t>
      </w:r>
      <w:r w:rsidRPr="00B50274">
        <w:rPr>
          <w:rFonts w:ascii="Palatino Linotype" w:hAnsi="Palatino Linotype" w:cs="Arial"/>
          <w:i/>
        </w:rPr>
        <w:t xml:space="preserve"> sus servidores públicos e integrantes, </w:t>
      </w:r>
      <w:r w:rsidRPr="00B50274">
        <w:rPr>
          <w:rFonts w:ascii="Palatino Linotype" w:hAnsi="Palatino Linotype" w:cs="Arial"/>
          <w:b/>
          <w:i/>
          <w:u w:val="single"/>
        </w:rPr>
        <w:t>sin importar su fuente o fecha de elaboración</w:t>
      </w:r>
      <w:r w:rsidRPr="00B50274">
        <w:rPr>
          <w:rFonts w:ascii="Palatino Linotype" w:hAnsi="Palatino Linotype" w:cs="Arial"/>
          <w:i/>
          <w:u w:val="single"/>
        </w:rPr>
        <w:t>.</w:t>
      </w:r>
      <w:r w:rsidRPr="00B50274">
        <w:rPr>
          <w:rFonts w:ascii="Palatino Linotype" w:hAnsi="Palatino Linotype" w:cs="Arial"/>
          <w:i/>
        </w:rPr>
        <w:t xml:space="preserve"> Los documentos podrán estar en cualquier medio, sea escrito, impreso, sonoro, visual, electrónico, informático u holográfico;</w:t>
      </w:r>
    </w:p>
    <w:p w:rsidR="003D02D4" w:rsidRPr="00B50274" w:rsidRDefault="003D02D4" w:rsidP="003D02D4">
      <w:pPr>
        <w:ind w:left="851" w:right="901"/>
        <w:jc w:val="both"/>
        <w:rPr>
          <w:rFonts w:ascii="Palatino Linotype" w:hAnsi="Palatino Linotype" w:cs="Arial"/>
          <w:i/>
        </w:rPr>
      </w:pPr>
      <w:r w:rsidRPr="00B50274">
        <w:rPr>
          <w:rFonts w:ascii="Palatino Linotype" w:hAnsi="Palatino Linotype" w:cs="Arial"/>
          <w:i/>
        </w:rPr>
        <w:t>…”</w:t>
      </w:r>
    </w:p>
    <w:p w:rsidR="003D02D4" w:rsidRPr="00B50274" w:rsidRDefault="003D02D4" w:rsidP="003D02D4">
      <w:pPr>
        <w:ind w:left="851" w:right="901"/>
        <w:jc w:val="both"/>
        <w:rPr>
          <w:rFonts w:ascii="Palatino Linotype" w:hAnsi="Palatino Linotype" w:cs="Arial"/>
          <w:i/>
        </w:rPr>
      </w:pPr>
      <w:r w:rsidRPr="00B50274">
        <w:rPr>
          <w:rFonts w:ascii="Palatino Linotype" w:hAnsi="Palatino Linotype" w:cs="Arial"/>
          <w:i/>
        </w:rPr>
        <w:t>(Énfasis añadido)</w:t>
      </w:r>
    </w:p>
    <w:p w:rsidR="003D02D4" w:rsidRPr="00B50274" w:rsidRDefault="003D02D4" w:rsidP="003D02D4">
      <w:pPr>
        <w:autoSpaceDE w:val="0"/>
        <w:autoSpaceDN w:val="0"/>
        <w:adjustRightInd w:val="0"/>
        <w:spacing w:before="240" w:after="240" w:line="360" w:lineRule="auto"/>
        <w:ind w:right="-141"/>
        <w:contextualSpacing/>
        <w:jc w:val="both"/>
        <w:rPr>
          <w:rFonts w:ascii="Palatino Linotype" w:hAnsi="Palatino Linotype" w:cs="Arial"/>
          <w:lang w:eastAsia="es-MX"/>
        </w:rPr>
      </w:pPr>
    </w:p>
    <w:p w:rsidR="003D02D4" w:rsidRPr="00B50274" w:rsidRDefault="00C60860" w:rsidP="00C60860">
      <w:pPr>
        <w:numPr>
          <w:ilvl w:val="0"/>
          <w:numId w:val="2"/>
        </w:numPr>
        <w:spacing w:before="240" w:after="240" w:line="360" w:lineRule="auto"/>
        <w:ind w:left="426" w:right="49" w:hanging="426"/>
        <w:contextualSpacing/>
        <w:jc w:val="both"/>
        <w:rPr>
          <w:rFonts w:ascii="Palatino Linotype" w:eastAsia="MS Mincho" w:hAnsi="Palatino Linotype" w:cs="Times New Roman"/>
          <w:sz w:val="24"/>
          <w:lang w:val="es-ES_tradnl"/>
        </w:rPr>
      </w:pPr>
      <w:r w:rsidRPr="00B50274">
        <w:rPr>
          <w:rFonts w:ascii="Palatino Linotype" w:eastAsia="MS Mincho" w:hAnsi="Palatino Linotype" w:cs="Times New Roman"/>
          <w:sz w:val="24"/>
          <w:lang w:val="es-ES_tradnl"/>
        </w:rPr>
        <w:t xml:space="preserve">Aunado a lo anterior, la Ley de Transparencia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w:t>
      </w:r>
      <w:r w:rsidRPr="00B50274">
        <w:rPr>
          <w:rFonts w:ascii="Palatino Linotype" w:eastAsia="MS Mincho" w:hAnsi="Palatino Linotype" w:cs="Times New Roman"/>
          <w:sz w:val="24"/>
          <w:lang w:val="es-ES_tradnl"/>
        </w:rPr>
        <w:lastRenderedPageBreak/>
        <w:t xml:space="preserve">través de la difusión de la información que obra en poder de los Sujetos Obligados.  </w:t>
      </w:r>
    </w:p>
    <w:p w:rsidR="00C60860" w:rsidRPr="00B50274" w:rsidRDefault="00C60860" w:rsidP="00C60860">
      <w:pPr>
        <w:spacing w:before="240" w:after="240" w:line="360" w:lineRule="auto"/>
        <w:ind w:left="426" w:right="49"/>
        <w:contextualSpacing/>
        <w:jc w:val="both"/>
        <w:rPr>
          <w:rFonts w:ascii="Palatino Linotype" w:eastAsia="MS Mincho" w:hAnsi="Palatino Linotype" w:cs="Times New Roman"/>
          <w:sz w:val="24"/>
          <w:lang w:val="es-ES_tradnl"/>
        </w:rPr>
      </w:pPr>
    </w:p>
    <w:p w:rsidR="003D02D4" w:rsidRPr="00B50274" w:rsidRDefault="003D02D4" w:rsidP="003D02D4">
      <w:pPr>
        <w:numPr>
          <w:ilvl w:val="0"/>
          <w:numId w:val="2"/>
        </w:numPr>
        <w:spacing w:before="240" w:after="240" w:line="360" w:lineRule="auto"/>
        <w:ind w:left="426" w:right="49" w:hanging="426"/>
        <w:contextualSpacing/>
        <w:jc w:val="both"/>
        <w:rPr>
          <w:rFonts w:ascii="Palatino Linotype" w:eastAsia="MS Mincho" w:hAnsi="Palatino Linotype" w:cs="Times New Roman"/>
          <w:sz w:val="24"/>
          <w:lang w:val="es-ES_tradnl"/>
        </w:rPr>
      </w:pPr>
      <w:r w:rsidRPr="00B50274">
        <w:rPr>
          <w:rFonts w:ascii="Palatino Linotype" w:eastAsia="MS Mincho" w:hAnsi="Palatino Linotype" w:cs="Times New Roman"/>
          <w:sz w:val="24"/>
          <w:lang w:val="es-ES_tradnl"/>
        </w:rPr>
        <w:t>Así pues,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intereses de los particulares, como de igual forma los sujeto obligados no deberán de generar, resumir o efectuar cálculos o practicar investigaciones.</w:t>
      </w:r>
    </w:p>
    <w:p w:rsidR="003D02D4" w:rsidRPr="00B50274" w:rsidRDefault="003D02D4" w:rsidP="003D02D4">
      <w:pPr>
        <w:spacing w:before="240" w:after="240" w:line="360" w:lineRule="auto"/>
        <w:ind w:left="426" w:right="49"/>
        <w:contextualSpacing/>
        <w:jc w:val="both"/>
        <w:rPr>
          <w:rFonts w:ascii="Palatino Linotype" w:eastAsia="MS Mincho" w:hAnsi="Palatino Linotype" w:cs="Times New Roman"/>
          <w:lang w:val="es-ES_tradnl"/>
        </w:rPr>
      </w:pPr>
    </w:p>
    <w:p w:rsidR="003D02D4" w:rsidRPr="00B50274" w:rsidRDefault="003D02D4" w:rsidP="003D02D4">
      <w:pPr>
        <w:numPr>
          <w:ilvl w:val="0"/>
          <w:numId w:val="2"/>
        </w:numPr>
        <w:spacing w:before="240" w:after="240" w:line="360" w:lineRule="auto"/>
        <w:ind w:left="426" w:right="49" w:hanging="426"/>
        <w:contextualSpacing/>
        <w:jc w:val="both"/>
        <w:rPr>
          <w:rFonts w:ascii="Palatino Linotype" w:eastAsia="MS Mincho" w:hAnsi="Palatino Linotype" w:cs="Times New Roman"/>
          <w:sz w:val="24"/>
          <w:lang w:val="es-ES_tradnl"/>
        </w:rPr>
      </w:pPr>
      <w:r w:rsidRPr="00B50274">
        <w:rPr>
          <w:rFonts w:ascii="Palatino Linotype" w:eastAsia="MS Mincho" w:hAnsi="Palatino Linotype" w:cs="Times New Roman"/>
          <w:sz w:val="24"/>
          <w:lang w:val="es-ES_tradnl"/>
        </w:rPr>
        <w:t>De la misma forma, de acuerdo al contenido del artículo 160 de la Ley General de Transparencia y Acceso a la Información Pública que a la letra dispone:</w:t>
      </w:r>
    </w:p>
    <w:p w:rsidR="003D02D4" w:rsidRPr="00B50274" w:rsidRDefault="003D02D4" w:rsidP="003D02D4">
      <w:pPr>
        <w:spacing w:line="360" w:lineRule="auto"/>
        <w:ind w:left="851" w:right="616"/>
        <w:contextualSpacing/>
        <w:jc w:val="both"/>
        <w:rPr>
          <w:rFonts w:ascii="Palatino Linotype" w:eastAsia="Times New Roman" w:hAnsi="Palatino Linotype" w:cs="Arial"/>
          <w:b/>
          <w:i/>
          <w:lang w:eastAsia="gl-ES"/>
        </w:rPr>
      </w:pPr>
    </w:p>
    <w:p w:rsidR="003D02D4" w:rsidRPr="00B50274" w:rsidRDefault="003D02D4" w:rsidP="003D02D4">
      <w:pPr>
        <w:spacing w:line="360" w:lineRule="auto"/>
        <w:ind w:left="851" w:right="616"/>
        <w:contextualSpacing/>
        <w:jc w:val="both"/>
        <w:rPr>
          <w:rFonts w:ascii="Palatino Linotype" w:eastAsia="Times New Roman" w:hAnsi="Palatino Linotype" w:cs="Arial"/>
          <w:i/>
          <w:lang w:eastAsia="gl-ES"/>
        </w:rPr>
      </w:pPr>
      <w:r w:rsidRPr="00B50274">
        <w:rPr>
          <w:rFonts w:ascii="Palatino Linotype" w:eastAsia="Times New Roman" w:hAnsi="Palatino Linotype" w:cs="Arial"/>
          <w:b/>
          <w:i/>
          <w:lang w:eastAsia="gl-ES"/>
        </w:rPr>
        <w:t>Artículo 160</w:t>
      </w:r>
      <w:r w:rsidRPr="00B50274">
        <w:rPr>
          <w:rFonts w:ascii="Palatino Linotype" w:eastAsia="Times New Roman" w:hAnsi="Palatino Linotype" w:cs="Arial"/>
          <w:i/>
          <w:lang w:eastAsia="gl-ES"/>
        </w:rPr>
        <w:t xml:space="preserve">. Los </w:t>
      </w:r>
      <w:r w:rsidRPr="00B50274">
        <w:rPr>
          <w:rFonts w:ascii="Palatino Linotype" w:hAnsi="Palatino Linotype" w:cs="Arial"/>
          <w:i/>
        </w:rPr>
        <w:t>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3D02D4" w:rsidRPr="00B50274" w:rsidRDefault="003D02D4" w:rsidP="003D02D4">
      <w:pPr>
        <w:spacing w:before="240" w:after="240" w:line="360" w:lineRule="auto"/>
        <w:ind w:left="426" w:right="49"/>
        <w:contextualSpacing/>
        <w:jc w:val="both"/>
        <w:rPr>
          <w:rFonts w:ascii="Palatino Linotype" w:eastAsia="MS Mincho" w:hAnsi="Palatino Linotype" w:cs="Times New Roman"/>
          <w:lang w:val="es-ES_tradnl"/>
        </w:rPr>
      </w:pPr>
    </w:p>
    <w:p w:rsidR="003D02D4" w:rsidRPr="00B50274" w:rsidRDefault="00C60860" w:rsidP="00C60860">
      <w:pPr>
        <w:numPr>
          <w:ilvl w:val="0"/>
          <w:numId w:val="2"/>
        </w:numPr>
        <w:autoSpaceDE w:val="0"/>
        <w:autoSpaceDN w:val="0"/>
        <w:adjustRightInd w:val="0"/>
        <w:spacing w:before="240" w:after="240" w:line="360" w:lineRule="auto"/>
        <w:ind w:right="-141"/>
        <w:contextualSpacing/>
        <w:jc w:val="both"/>
        <w:rPr>
          <w:rFonts w:ascii="Palatino Linotype" w:hAnsi="Palatino Linotype" w:cs="Arial"/>
          <w:sz w:val="24"/>
        </w:rPr>
      </w:pPr>
      <w:r w:rsidRPr="00B50274">
        <w:rPr>
          <w:rFonts w:ascii="Palatino Linotype" w:hAnsi="Palatino Linotype" w:cs="Arial"/>
          <w:sz w:val="24"/>
        </w:rPr>
        <w:lastRenderedPageBreak/>
        <w:t xml:space="preserve">Por lo que, sí el mismo Sujeto Obligado se ha manifestado afirmativamente respecto de que posee, genera y administra la información solicitada, no cabe la condicionante de que se hará entrega de la información previo pago de derechos por digitalización, sino que se deben observar dos puntos importantes: </w:t>
      </w:r>
    </w:p>
    <w:p w:rsidR="00F46903" w:rsidRPr="00B50274" w:rsidRDefault="00C60860" w:rsidP="00F46903">
      <w:pPr>
        <w:pStyle w:val="Prrafodelista"/>
        <w:numPr>
          <w:ilvl w:val="0"/>
          <w:numId w:val="1"/>
        </w:numPr>
        <w:autoSpaceDE w:val="0"/>
        <w:autoSpaceDN w:val="0"/>
        <w:adjustRightInd w:val="0"/>
        <w:spacing w:before="240" w:after="240" w:line="360" w:lineRule="auto"/>
        <w:ind w:right="-141"/>
        <w:jc w:val="both"/>
        <w:rPr>
          <w:rFonts w:ascii="Palatino Linotype" w:hAnsi="Palatino Linotype" w:cs="Arial"/>
          <w:sz w:val="24"/>
        </w:rPr>
      </w:pPr>
      <w:r w:rsidRPr="00B50274">
        <w:rPr>
          <w:rFonts w:ascii="Palatino Linotype" w:hAnsi="Palatino Linotype" w:cs="Arial"/>
          <w:sz w:val="24"/>
        </w:rPr>
        <w:t xml:space="preserve">Si la posesión de la información es de carácter inexcusable, es decir si el sujeto obligado, en el ejercicio de sus atribuciones, debe generar, poseer o administrar la información, deberá entenderse como información de oficio aplicable a la rendición de cuenta pública a pesar de no figurar en los preceptos legales aplicables de los artículos 92, 94 o 98 de la Ley de Transparencia y Acceso a la Información Pública del Estado de México y Municipios. </w:t>
      </w:r>
    </w:p>
    <w:p w:rsidR="00C60860" w:rsidRPr="00B50274" w:rsidRDefault="00C60860" w:rsidP="00F46903">
      <w:pPr>
        <w:pStyle w:val="Prrafodelista"/>
        <w:numPr>
          <w:ilvl w:val="0"/>
          <w:numId w:val="1"/>
        </w:numPr>
        <w:autoSpaceDE w:val="0"/>
        <w:autoSpaceDN w:val="0"/>
        <w:adjustRightInd w:val="0"/>
        <w:spacing w:before="240" w:after="240" w:line="360" w:lineRule="auto"/>
        <w:ind w:right="-141"/>
        <w:jc w:val="both"/>
        <w:rPr>
          <w:rFonts w:ascii="Palatino Linotype" w:hAnsi="Palatino Linotype" w:cs="Arial"/>
          <w:sz w:val="24"/>
        </w:rPr>
      </w:pPr>
      <w:r w:rsidRPr="00B50274">
        <w:rPr>
          <w:rFonts w:ascii="Palatino Linotype" w:hAnsi="Palatino Linotype" w:cs="Arial"/>
          <w:sz w:val="24"/>
        </w:rPr>
        <w:t>El cobro por digitalizar archivos o documentos reconocido dentro del artículo 73 fracción VI del Código Financiero del Estado de México, contradice los Lineamientos para la Organización y Conservación de Archivos, del Sistema Nacional de Transparencia, Acceso a la Información Pública y Protección de Datos Personales.</w:t>
      </w:r>
    </w:p>
    <w:p w:rsidR="00F46903" w:rsidRPr="00B50274" w:rsidRDefault="00F46903" w:rsidP="00F46903">
      <w:pPr>
        <w:pStyle w:val="Prrafodelista"/>
        <w:autoSpaceDE w:val="0"/>
        <w:autoSpaceDN w:val="0"/>
        <w:adjustRightInd w:val="0"/>
        <w:spacing w:before="240" w:after="240" w:line="360" w:lineRule="auto"/>
        <w:ind w:left="502" w:right="-141"/>
        <w:jc w:val="both"/>
        <w:rPr>
          <w:rFonts w:ascii="Palatino Linotype" w:hAnsi="Palatino Linotype" w:cs="Arial"/>
          <w:sz w:val="24"/>
        </w:rPr>
      </w:pPr>
    </w:p>
    <w:p w:rsidR="00F46903" w:rsidRPr="00B50274" w:rsidRDefault="00F46903" w:rsidP="00F46903">
      <w:pPr>
        <w:pStyle w:val="Prrafodelista"/>
        <w:numPr>
          <w:ilvl w:val="0"/>
          <w:numId w:val="2"/>
        </w:numPr>
        <w:spacing w:after="0" w:line="360" w:lineRule="auto"/>
        <w:jc w:val="both"/>
        <w:rPr>
          <w:rFonts w:ascii="Palatino Linotype" w:eastAsia="Times New Roman" w:hAnsi="Palatino Linotype" w:cs="Arial"/>
          <w:sz w:val="24"/>
          <w:lang w:val="es-ES"/>
        </w:rPr>
      </w:pPr>
      <w:r w:rsidRPr="00B50274">
        <w:rPr>
          <w:rFonts w:ascii="Palatino Linotype" w:eastAsia="Times New Roman" w:hAnsi="Palatino Linotype" w:cs="Arial"/>
          <w:sz w:val="24"/>
          <w:lang w:val="es-ES"/>
        </w:rPr>
        <w:t>Como parte del Derecho de Acceso a la Información Pública se contempla la observancia de principios en su carácter de gratuita, veraz, confiable, oportuna, congruente, integral, actualizada, accesible, comprensible, verificable y de fácil acceso.</w:t>
      </w:r>
    </w:p>
    <w:p w:rsidR="00F46903" w:rsidRPr="00B50274" w:rsidRDefault="00F46903" w:rsidP="00F46903">
      <w:pPr>
        <w:pStyle w:val="Prrafodelista"/>
        <w:spacing w:after="0" w:line="360" w:lineRule="auto"/>
        <w:ind w:left="360"/>
        <w:jc w:val="both"/>
        <w:rPr>
          <w:rFonts w:ascii="Palatino Linotype" w:eastAsia="Times New Roman" w:hAnsi="Palatino Linotype" w:cs="Arial"/>
          <w:sz w:val="24"/>
          <w:lang w:val="es-ES"/>
        </w:rPr>
      </w:pPr>
    </w:p>
    <w:p w:rsidR="00F46903" w:rsidRPr="00B50274" w:rsidRDefault="00F46903" w:rsidP="00F46903">
      <w:pPr>
        <w:pStyle w:val="Prrafodelista"/>
        <w:numPr>
          <w:ilvl w:val="0"/>
          <w:numId w:val="2"/>
        </w:numPr>
        <w:spacing w:after="0" w:line="360" w:lineRule="auto"/>
        <w:jc w:val="both"/>
        <w:rPr>
          <w:rFonts w:ascii="Palatino Linotype" w:eastAsia="Times New Roman" w:hAnsi="Palatino Linotype" w:cs="Arial"/>
          <w:sz w:val="24"/>
          <w:lang w:val="es-ES"/>
        </w:rPr>
      </w:pPr>
      <w:r w:rsidRPr="00B50274">
        <w:rPr>
          <w:rFonts w:ascii="Palatino Linotype" w:eastAsia="Times New Roman" w:hAnsi="Palatino Linotype" w:cs="Arial"/>
          <w:sz w:val="24"/>
          <w:lang w:val="es-ES"/>
        </w:rPr>
        <w:t xml:space="preserve">La Ley General de Transparencia y Acceso a la Información Pública señala explícitamente en su artículo 17 que el ejercicio del derecho de acceso a la </w:t>
      </w:r>
      <w:r w:rsidRPr="00B50274">
        <w:rPr>
          <w:rFonts w:ascii="Palatino Linotype" w:eastAsia="Times New Roman" w:hAnsi="Palatino Linotype" w:cs="Arial"/>
          <w:sz w:val="24"/>
          <w:lang w:val="es-ES"/>
        </w:rPr>
        <w:lastRenderedPageBreak/>
        <w:t>información será gratuito y sólo podrá requerirse el cobro correspondiente a la modalidad de reproducción y entrega solicitada.</w:t>
      </w:r>
    </w:p>
    <w:p w:rsidR="00F46903" w:rsidRPr="00B50274" w:rsidRDefault="00F46903" w:rsidP="00F46903">
      <w:pPr>
        <w:spacing w:after="0" w:line="360" w:lineRule="auto"/>
        <w:jc w:val="both"/>
        <w:rPr>
          <w:rFonts w:ascii="Palatino Linotype" w:eastAsia="Times New Roman" w:hAnsi="Palatino Linotype" w:cs="Arial"/>
          <w:sz w:val="24"/>
          <w:lang w:val="es-ES"/>
        </w:rPr>
      </w:pPr>
    </w:p>
    <w:p w:rsidR="00F46903" w:rsidRPr="00B50274" w:rsidRDefault="00F46903" w:rsidP="00F46903">
      <w:pPr>
        <w:pStyle w:val="Prrafodelista"/>
        <w:numPr>
          <w:ilvl w:val="0"/>
          <w:numId w:val="2"/>
        </w:numPr>
        <w:spacing w:after="0" w:line="360" w:lineRule="auto"/>
        <w:jc w:val="both"/>
        <w:rPr>
          <w:rFonts w:ascii="Palatino Linotype" w:eastAsia="Times New Roman" w:hAnsi="Palatino Linotype" w:cs="Arial"/>
          <w:sz w:val="24"/>
          <w:lang w:val="es-ES"/>
        </w:rPr>
      </w:pPr>
      <w:r w:rsidRPr="00B50274">
        <w:rPr>
          <w:rFonts w:ascii="Palatino Linotype" w:eastAsia="Times New Roman" w:hAnsi="Palatino Linotype" w:cs="Arial"/>
          <w:sz w:val="24"/>
          <w:lang w:val="es-ES"/>
        </w:rPr>
        <w:t>Dentro de los principios que la Constitución Política del Estado Libre y Soberano de México, señala para hacer efectivo el derecho de acceso a la información pública, se encuentra el de la gratuidad y el uso de las herramientas tecnológicas de la información puesta a disposición, tanto de los particulares como de los Sujetos Obligados. Es por esta razón que la Ley de Transparencia y Acceso a la Información Pública del Estado de México y Municipios, en concordancia con la Ley General de Transparencia y la Constitución local señala las directrices y procedimientos que deben seguirse para poner a disposición de las personas la información</w:t>
      </w:r>
    </w:p>
    <w:p w:rsidR="00F46903" w:rsidRPr="00B50274" w:rsidRDefault="00F46903" w:rsidP="00F46903">
      <w:pPr>
        <w:pStyle w:val="Prrafodelista"/>
        <w:rPr>
          <w:rFonts w:ascii="Palatino Linotype" w:eastAsia="Times New Roman" w:hAnsi="Palatino Linotype" w:cs="Arial"/>
          <w:sz w:val="24"/>
          <w:lang w:val="es-ES"/>
        </w:rPr>
      </w:pPr>
    </w:p>
    <w:p w:rsidR="00F46903" w:rsidRPr="00B50274" w:rsidRDefault="00F46903" w:rsidP="00F46903">
      <w:pPr>
        <w:pStyle w:val="Prrafodelista"/>
        <w:numPr>
          <w:ilvl w:val="0"/>
          <w:numId w:val="2"/>
        </w:numPr>
        <w:spacing w:after="0" w:line="360" w:lineRule="auto"/>
        <w:jc w:val="both"/>
        <w:rPr>
          <w:rFonts w:ascii="Palatino Linotype" w:eastAsia="Times New Roman" w:hAnsi="Palatino Linotype" w:cs="Arial"/>
          <w:sz w:val="24"/>
          <w:lang w:val="es-ES"/>
        </w:rPr>
      </w:pPr>
      <w:r w:rsidRPr="00B50274">
        <w:rPr>
          <w:rFonts w:ascii="Palatino Linotype" w:eastAsia="Times New Roman" w:hAnsi="Palatino Linotype" w:cs="Arial"/>
          <w:sz w:val="24"/>
          <w:lang w:val="es-ES"/>
        </w:rPr>
        <w:t>De manera específica el artículo 9 fracción III de la Ley de Transparencia y Acceso a la Información Pública del Estado de México y Municipios establece:</w:t>
      </w:r>
    </w:p>
    <w:p w:rsidR="00F46903" w:rsidRPr="00B50274" w:rsidRDefault="00F46903" w:rsidP="00F46903">
      <w:pPr>
        <w:spacing w:before="240" w:line="360" w:lineRule="auto"/>
        <w:ind w:left="851" w:right="616"/>
        <w:contextualSpacing/>
        <w:jc w:val="both"/>
        <w:rPr>
          <w:rFonts w:ascii="Palatino Linotype" w:hAnsi="Palatino Linotype" w:cs="Arial"/>
          <w:i/>
        </w:rPr>
      </w:pPr>
      <w:r w:rsidRPr="00B50274">
        <w:rPr>
          <w:rFonts w:ascii="Palatino Linotype" w:hAnsi="Palatino Linotype" w:cs="Arial"/>
          <w:b/>
          <w:i/>
        </w:rPr>
        <w:t>Artículo 9.</w:t>
      </w:r>
      <w:r w:rsidRPr="00B50274">
        <w:rPr>
          <w:rFonts w:ascii="Palatino Linotype" w:hAnsi="Palatino Linotype" w:cs="Arial"/>
          <w:i/>
        </w:rPr>
        <w:t xml:space="preserve"> El Instituto deberá regir su funcionamiento de acuerdo a los siguientes principios: </w:t>
      </w:r>
    </w:p>
    <w:p w:rsidR="00F46903" w:rsidRPr="00B50274" w:rsidRDefault="00F46903" w:rsidP="00F46903">
      <w:pPr>
        <w:spacing w:line="360" w:lineRule="auto"/>
        <w:ind w:left="851" w:right="616"/>
        <w:contextualSpacing/>
        <w:jc w:val="both"/>
        <w:rPr>
          <w:rFonts w:ascii="Palatino Linotype" w:hAnsi="Palatino Linotype" w:cs="Arial"/>
          <w:i/>
        </w:rPr>
      </w:pPr>
      <w:r w:rsidRPr="00B50274">
        <w:rPr>
          <w:rFonts w:ascii="Palatino Linotype" w:hAnsi="Palatino Linotype" w:cs="Arial"/>
          <w:i/>
        </w:rPr>
        <w:t xml:space="preserve">… </w:t>
      </w:r>
    </w:p>
    <w:p w:rsidR="00F46903" w:rsidRPr="00B50274" w:rsidRDefault="00F46903" w:rsidP="00F46903">
      <w:pPr>
        <w:spacing w:line="360" w:lineRule="auto"/>
        <w:ind w:left="851" w:right="616"/>
        <w:contextualSpacing/>
        <w:jc w:val="both"/>
        <w:rPr>
          <w:rFonts w:ascii="Palatino Linotype" w:hAnsi="Palatino Linotype" w:cs="Arial"/>
          <w:i/>
        </w:rPr>
      </w:pPr>
      <w:r w:rsidRPr="00B50274">
        <w:rPr>
          <w:rFonts w:ascii="Palatino Linotype" w:hAnsi="Palatino Linotype" w:cs="Arial"/>
          <w:i/>
        </w:rPr>
        <w:t>III. Gratuidad: Consiste en que el acceso a la información pública no genera costo alguno para los solicitantes, sólo podrá requerirse el cobro correspondiente a la modalidad de reproducción y entrega solicitada conforme a lo establecido en la presente Ley y demás disposiciones jurídicas aplicables</w:t>
      </w:r>
    </w:p>
    <w:p w:rsidR="00F46903" w:rsidRPr="00B50274" w:rsidRDefault="00F46903" w:rsidP="00F46903">
      <w:pPr>
        <w:pStyle w:val="Prrafodelista"/>
        <w:rPr>
          <w:rFonts w:ascii="Palatino Linotype" w:eastAsia="Times New Roman" w:hAnsi="Palatino Linotype" w:cs="Arial"/>
          <w:sz w:val="24"/>
          <w:lang w:val="es-ES"/>
        </w:rPr>
      </w:pPr>
    </w:p>
    <w:p w:rsidR="00F46903" w:rsidRPr="00B50274" w:rsidRDefault="00F46903" w:rsidP="00F46903">
      <w:pPr>
        <w:pStyle w:val="Prrafodelista"/>
        <w:numPr>
          <w:ilvl w:val="0"/>
          <w:numId w:val="2"/>
        </w:numPr>
        <w:spacing w:after="0" w:line="360" w:lineRule="auto"/>
        <w:jc w:val="both"/>
        <w:rPr>
          <w:rFonts w:ascii="Palatino Linotype" w:eastAsia="Times New Roman" w:hAnsi="Palatino Linotype" w:cs="Arial"/>
          <w:sz w:val="24"/>
          <w:lang w:val="es-ES"/>
        </w:rPr>
      </w:pPr>
      <w:r w:rsidRPr="00B50274">
        <w:rPr>
          <w:rFonts w:ascii="Palatino Linotype" w:eastAsia="Times New Roman" w:hAnsi="Palatino Linotype" w:cs="Arial"/>
          <w:sz w:val="24"/>
          <w:lang w:val="es-ES"/>
        </w:rPr>
        <w:t xml:space="preserve">En este orden de ideas el artículo 150 de la Ley en referencia en su texto literal refiere: </w:t>
      </w:r>
    </w:p>
    <w:p w:rsidR="00F46903" w:rsidRPr="00B50274" w:rsidRDefault="00F46903" w:rsidP="00F46903">
      <w:pPr>
        <w:spacing w:line="360" w:lineRule="auto"/>
        <w:ind w:left="851" w:right="616"/>
        <w:contextualSpacing/>
        <w:jc w:val="both"/>
        <w:rPr>
          <w:rFonts w:ascii="Palatino Linotype" w:hAnsi="Palatino Linotype" w:cs="Arial"/>
          <w:i/>
        </w:rPr>
      </w:pPr>
      <w:r w:rsidRPr="00B50274">
        <w:rPr>
          <w:rFonts w:ascii="Palatino Linotype" w:hAnsi="Palatino Linotype" w:cs="Arial"/>
          <w:b/>
          <w:i/>
        </w:rPr>
        <w:lastRenderedPageBreak/>
        <w:t>Artículo 150.</w:t>
      </w:r>
      <w:r w:rsidRPr="00B50274">
        <w:rPr>
          <w:rFonts w:ascii="Palatino Linotype" w:hAnsi="Palatino Linotype" w:cs="Arial"/>
          <w:i/>
        </w:rPr>
        <w:t xml:space="preserv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rsidR="00F46903" w:rsidRPr="00B50274" w:rsidRDefault="00F46903" w:rsidP="00F46903">
      <w:pPr>
        <w:pStyle w:val="Prrafodelista"/>
        <w:numPr>
          <w:ilvl w:val="0"/>
          <w:numId w:val="2"/>
        </w:numPr>
        <w:spacing w:after="0" w:line="360" w:lineRule="auto"/>
        <w:jc w:val="both"/>
        <w:rPr>
          <w:rFonts w:ascii="Palatino Linotype" w:eastAsia="Times New Roman" w:hAnsi="Palatino Linotype" w:cs="Arial"/>
          <w:sz w:val="24"/>
          <w:lang w:val="es-ES"/>
        </w:rPr>
      </w:pPr>
      <w:r w:rsidRPr="00B50274">
        <w:rPr>
          <w:rFonts w:ascii="Palatino Linotype" w:eastAsia="Times New Roman" w:hAnsi="Palatino Linotype" w:cs="Arial"/>
          <w:sz w:val="24"/>
          <w:lang w:val="es-ES"/>
        </w:rPr>
        <w:t xml:space="preserve">Para satisfacer plenamente el Derecho de Acceso a la Información Pública, este Órgano Garante debe velar por que el procedimiento de Acceso a la Información Que es la garantía primaria del derecho en cuestión se observen los principios de simplicidad, rapidez gratuidad del procedimiento, así como auxilio y orientación a los particulares con el propósito de otorgar la protección más amplia del derecho humano de las personas.  </w:t>
      </w:r>
    </w:p>
    <w:p w:rsidR="00F46903" w:rsidRPr="00B50274" w:rsidRDefault="00F46903" w:rsidP="00F46903">
      <w:pPr>
        <w:pStyle w:val="Prrafodelista"/>
        <w:spacing w:after="0" w:line="360" w:lineRule="auto"/>
        <w:ind w:left="360"/>
        <w:jc w:val="both"/>
        <w:rPr>
          <w:rFonts w:ascii="Palatino Linotype" w:eastAsia="Times New Roman" w:hAnsi="Palatino Linotype" w:cs="Arial"/>
          <w:sz w:val="24"/>
          <w:lang w:val="es-ES"/>
        </w:rPr>
      </w:pPr>
    </w:p>
    <w:p w:rsidR="00F46903" w:rsidRPr="00B50274" w:rsidRDefault="00F46903" w:rsidP="00F46903">
      <w:pPr>
        <w:pStyle w:val="Prrafodelista"/>
        <w:numPr>
          <w:ilvl w:val="0"/>
          <w:numId w:val="2"/>
        </w:numPr>
        <w:spacing w:after="0" w:line="360" w:lineRule="auto"/>
        <w:jc w:val="both"/>
        <w:rPr>
          <w:rFonts w:ascii="Palatino Linotype" w:eastAsia="Times New Roman" w:hAnsi="Palatino Linotype" w:cs="Arial"/>
          <w:sz w:val="24"/>
          <w:lang w:val="es-ES"/>
        </w:rPr>
      </w:pPr>
      <w:r w:rsidRPr="00B50274">
        <w:rPr>
          <w:rFonts w:ascii="Palatino Linotype" w:eastAsia="Times New Roman" w:hAnsi="Palatino Linotype" w:cs="Arial"/>
          <w:sz w:val="24"/>
          <w:lang w:val="es-ES"/>
        </w:rPr>
        <w:t xml:space="preserve">De los preceptos jurídicos citados se advierte que para garantizar plenamente el Derecho de Acceso a la Información Pública, se deben observar cada uno de los principios que la propia ley señala, y así como es importante el principio de máxima publicidad, también lo es el principio de gratuidad del procedimiento, y la Ley es muy clara al especificar que: “sólo podrá requerirse el cobro correspondiente a la modalidad de reproducción y entrega solicitada” y en el caso concreto, la modalidad solicitada corresponde a “vía SAIMEX”, no así en copias simples o copias certificadas (con costo). </w:t>
      </w:r>
    </w:p>
    <w:p w:rsidR="00F46903" w:rsidRPr="00B50274" w:rsidRDefault="00F46903" w:rsidP="00F46903">
      <w:pPr>
        <w:pStyle w:val="Prrafodelista"/>
        <w:rPr>
          <w:rFonts w:ascii="Palatino Linotype" w:eastAsia="Times New Roman" w:hAnsi="Palatino Linotype" w:cs="Arial"/>
          <w:sz w:val="24"/>
          <w:lang w:val="es-ES"/>
        </w:rPr>
      </w:pPr>
    </w:p>
    <w:p w:rsidR="003C4DBF" w:rsidRPr="00B50274" w:rsidRDefault="00F46903" w:rsidP="003C4DBF">
      <w:pPr>
        <w:pStyle w:val="Prrafodelista"/>
        <w:numPr>
          <w:ilvl w:val="0"/>
          <w:numId w:val="2"/>
        </w:numPr>
        <w:spacing w:after="0" w:line="360" w:lineRule="auto"/>
        <w:jc w:val="both"/>
        <w:rPr>
          <w:rFonts w:ascii="Palatino Linotype" w:hAnsi="Palatino Linotype" w:cs="Arial"/>
          <w:bCs/>
          <w:sz w:val="24"/>
          <w:szCs w:val="24"/>
        </w:rPr>
      </w:pPr>
      <w:r w:rsidRPr="00B50274">
        <w:rPr>
          <w:rFonts w:ascii="Palatino Linotype" w:eastAsia="Times New Roman" w:hAnsi="Palatino Linotype" w:cs="Arial"/>
          <w:sz w:val="24"/>
          <w:lang w:val="es-ES"/>
        </w:rPr>
        <w:t xml:space="preserve">Del mismo modo, no se debe ignorar que el Archivo General de la Nación, dentro </w:t>
      </w:r>
      <w:r w:rsidR="003C4DBF" w:rsidRPr="00B50274">
        <w:rPr>
          <w:rFonts w:ascii="Palatino Linotype" w:hAnsi="Palatino Linotype"/>
          <w:sz w:val="24"/>
          <w:szCs w:val="24"/>
        </w:rPr>
        <w:t xml:space="preserve">dentro de sus </w:t>
      </w:r>
      <w:r w:rsidR="003C4DBF" w:rsidRPr="00B50274">
        <w:rPr>
          <w:rFonts w:ascii="Palatino Linotype" w:hAnsi="Palatino Linotype"/>
          <w:b/>
          <w:i/>
          <w:sz w:val="24"/>
          <w:szCs w:val="24"/>
        </w:rPr>
        <w:t>Recomendaciones para proyectos de digitalización de documentos</w:t>
      </w:r>
      <w:r w:rsidR="003C4DBF" w:rsidRPr="00B50274">
        <w:rPr>
          <w:rFonts w:ascii="Palatino Linotype" w:hAnsi="Palatino Linotype"/>
          <w:sz w:val="24"/>
          <w:szCs w:val="24"/>
        </w:rPr>
        <w:t>, concibe al objeto de digitalización de la siguiente manera:</w:t>
      </w:r>
    </w:p>
    <w:p w:rsidR="003C4DBF" w:rsidRPr="00B50274" w:rsidRDefault="003C4DBF" w:rsidP="003C4DBF">
      <w:pPr>
        <w:pStyle w:val="Prrafodelista"/>
        <w:spacing w:before="240" w:after="240" w:line="360" w:lineRule="auto"/>
        <w:ind w:left="851" w:right="567"/>
        <w:jc w:val="both"/>
        <w:rPr>
          <w:rFonts w:ascii="Palatino Linotype" w:hAnsi="Palatino Linotype"/>
          <w:i/>
          <w:sz w:val="24"/>
          <w:szCs w:val="24"/>
        </w:rPr>
      </w:pPr>
      <w:r w:rsidRPr="00B50274">
        <w:rPr>
          <w:rFonts w:ascii="Palatino Linotype" w:hAnsi="Palatino Linotype"/>
          <w:i/>
          <w:sz w:val="24"/>
          <w:szCs w:val="24"/>
        </w:rPr>
        <w:lastRenderedPageBreak/>
        <w:t xml:space="preserve">“El fin de un proyecto como éste </w:t>
      </w:r>
      <w:r w:rsidRPr="00B50274">
        <w:rPr>
          <w:rFonts w:ascii="Palatino Linotype" w:hAnsi="Palatino Linotype"/>
          <w:sz w:val="24"/>
          <w:szCs w:val="24"/>
        </w:rPr>
        <w:t>(proyecto de digitalización)</w:t>
      </w:r>
      <w:r w:rsidRPr="00B50274">
        <w:rPr>
          <w:rFonts w:ascii="Palatino Linotype" w:hAnsi="Palatino Linotype"/>
          <w:i/>
          <w:sz w:val="24"/>
          <w:szCs w:val="24"/>
        </w:rPr>
        <w:t xml:space="preserve"> es digitalizar una sola vez los documentos y utilizar el archivo obtenido para diversos propósitos; por ello se debe definir desde la planeación una digitalización estandarizada, clasificada y con óptima calidad, para garantizar que cada archivo se pueda utilizar para nuevos requerimientos, sin necesidad de volver a digitalizarlo.”</w:t>
      </w:r>
    </w:p>
    <w:p w:rsidR="003C4DBF" w:rsidRPr="00B50274" w:rsidRDefault="003C4DBF" w:rsidP="003C4DBF">
      <w:pPr>
        <w:pStyle w:val="Prrafodelista"/>
        <w:spacing w:before="240" w:after="240" w:line="360" w:lineRule="auto"/>
        <w:ind w:left="851" w:right="567"/>
        <w:jc w:val="both"/>
        <w:rPr>
          <w:rFonts w:ascii="Palatino Linotype" w:hAnsi="Palatino Linotype"/>
          <w:sz w:val="24"/>
          <w:szCs w:val="24"/>
        </w:rPr>
      </w:pPr>
    </w:p>
    <w:p w:rsidR="003C4DBF" w:rsidRPr="00B50274" w:rsidRDefault="003C4DBF" w:rsidP="003C4DBF">
      <w:pPr>
        <w:pStyle w:val="Prrafodelista"/>
        <w:numPr>
          <w:ilvl w:val="0"/>
          <w:numId w:val="2"/>
        </w:numPr>
        <w:spacing w:after="0" w:line="360" w:lineRule="auto"/>
        <w:jc w:val="both"/>
        <w:rPr>
          <w:rFonts w:ascii="Palatino Linotype" w:eastAsia="Times New Roman" w:hAnsi="Palatino Linotype" w:cs="Arial"/>
          <w:sz w:val="24"/>
          <w:lang w:val="es-ES"/>
        </w:rPr>
      </w:pPr>
      <w:r w:rsidRPr="00B50274">
        <w:rPr>
          <w:rFonts w:ascii="Palatino Linotype" w:eastAsia="Times New Roman" w:hAnsi="Palatino Linotype" w:cs="Arial"/>
          <w:sz w:val="24"/>
          <w:lang w:val="es-ES"/>
        </w:rPr>
        <w:t>De lo anterior se entiende que el digitalizar documentos no se debe entender como una actividad concebida únicamente para dar atención a una solicitud de información, sino como una oportunidad que tienen los Sujetos Obligados para asegurar en un medio digital su información física y poder hacer uso de la misma en oportunidades futuras.</w:t>
      </w:r>
    </w:p>
    <w:p w:rsidR="003C4DBF" w:rsidRPr="00B50274" w:rsidRDefault="003C4DBF" w:rsidP="003C4DBF">
      <w:pPr>
        <w:pStyle w:val="Prrafodelista"/>
        <w:spacing w:after="0" w:line="360" w:lineRule="auto"/>
        <w:ind w:left="360"/>
        <w:jc w:val="both"/>
        <w:rPr>
          <w:rFonts w:ascii="Palatino Linotype" w:eastAsia="Times New Roman" w:hAnsi="Palatino Linotype" w:cs="Arial"/>
          <w:sz w:val="24"/>
          <w:lang w:val="es-ES"/>
        </w:rPr>
      </w:pPr>
    </w:p>
    <w:p w:rsidR="00F46903" w:rsidRPr="00B50274" w:rsidRDefault="003C4DBF" w:rsidP="003C4DBF">
      <w:pPr>
        <w:pStyle w:val="Prrafodelista"/>
        <w:numPr>
          <w:ilvl w:val="0"/>
          <w:numId w:val="2"/>
        </w:numPr>
        <w:spacing w:after="0" w:line="360" w:lineRule="auto"/>
        <w:jc w:val="both"/>
        <w:rPr>
          <w:rFonts w:ascii="Palatino Linotype" w:eastAsia="Times New Roman" w:hAnsi="Palatino Linotype" w:cs="Arial"/>
          <w:sz w:val="24"/>
          <w:lang w:val="es-ES"/>
        </w:rPr>
      </w:pPr>
      <w:r w:rsidRPr="00B50274">
        <w:rPr>
          <w:rFonts w:ascii="Palatino Linotype" w:eastAsia="Times New Roman" w:hAnsi="Palatino Linotype" w:cs="Arial"/>
          <w:sz w:val="24"/>
          <w:lang w:val="es-ES"/>
        </w:rPr>
        <w:t>Finalmente, la Ley de Transparencia y Acceso a la Información Pública del Estado de México y Municipios establece las Obligaciones de Transparencia Común y las Obligaciones de Transparencia Especifico, que a la letra señala:</w:t>
      </w:r>
    </w:p>
    <w:p w:rsidR="003D02D4" w:rsidRPr="00B50274" w:rsidRDefault="003C4DBF" w:rsidP="003D02D4">
      <w:pPr>
        <w:ind w:left="851" w:right="901"/>
        <w:jc w:val="both"/>
        <w:rPr>
          <w:rFonts w:ascii="Palatino Linotype" w:hAnsi="Palatino Linotype" w:cs="Arial"/>
          <w:i/>
        </w:rPr>
      </w:pPr>
      <w:r w:rsidRPr="00B50274">
        <w:rPr>
          <w:rFonts w:ascii="Palatino Linotype" w:hAnsi="Palatino Linotype" w:cs="Arial"/>
          <w:b/>
          <w:i/>
        </w:rPr>
        <w:t>“</w:t>
      </w:r>
      <w:r w:rsidR="003D02D4" w:rsidRPr="00B50274">
        <w:rPr>
          <w:rFonts w:ascii="Palatino Linotype" w:hAnsi="Palatino Linotype" w:cs="Arial"/>
          <w:b/>
          <w:i/>
        </w:rPr>
        <w:t>Artículo 92</w:t>
      </w:r>
      <w:r w:rsidR="003D02D4" w:rsidRPr="00B50274">
        <w:rPr>
          <w:rFonts w:ascii="Palatino Linotype" w:hAnsi="Palatino Linotype" w:cs="Arial"/>
          <w:i/>
        </w:rPr>
        <w:t xml:space="preserve">. Los </w:t>
      </w:r>
      <w:r w:rsidR="003D02D4" w:rsidRPr="00B50274">
        <w:rPr>
          <w:rFonts w:ascii="Palatino Linotype" w:hAnsi="Palatino Linotype" w:cs="Arial"/>
          <w:i/>
          <w:u w:val="single"/>
        </w:rPr>
        <w:t>sujetos obligados deberán poner a disposición del público de manera permanente y actualizada de forma sencilla, precisa y entend</w:t>
      </w:r>
      <w:r w:rsidR="003D02D4" w:rsidRPr="00B50274">
        <w:rPr>
          <w:rFonts w:ascii="Palatino Linotype" w:hAnsi="Palatino Linotype" w:cs="Arial"/>
          <w:i/>
        </w:rPr>
        <w:t xml:space="preserve">ible, en los respectivos medios electrónicos, </w:t>
      </w:r>
      <w:r w:rsidR="003D02D4" w:rsidRPr="00B50274">
        <w:rPr>
          <w:rFonts w:ascii="Palatino Linotype" w:hAnsi="Palatino Linotype" w:cs="Arial"/>
          <w:i/>
          <w:u w:val="single"/>
        </w:rPr>
        <w:t>de acuerdo con sus facultades, atribuciones, funciones u objeto social, según corresponda, la información</w:t>
      </w:r>
      <w:r w:rsidR="003D02D4" w:rsidRPr="00B50274">
        <w:rPr>
          <w:rFonts w:ascii="Palatino Linotype" w:hAnsi="Palatino Linotype" w:cs="Arial"/>
          <w:i/>
        </w:rPr>
        <w:t>, por lo menos, de los temas, documentos y políticas que a continuación se señalan:</w:t>
      </w:r>
    </w:p>
    <w:p w:rsidR="003D02D4" w:rsidRPr="00B50274" w:rsidRDefault="003D02D4" w:rsidP="003D02D4">
      <w:pPr>
        <w:ind w:left="851" w:right="901"/>
        <w:jc w:val="both"/>
        <w:rPr>
          <w:rFonts w:ascii="Palatino Linotype" w:hAnsi="Palatino Linotype" w:cs="Arial"/>
          <w:i/>
        </w:rPr>
      </w:pPr>
      <w:r w:rsidRPr="00B50274">
        <w:rPr>
          <w:rFonts w:ascii="Palatino Linotype" w:hAnsi="Palatino Linotype" w:cs="Arial"/>
          <w:i/>
        </w:rPr>
        <w:t>…</w:t>
      </w:r>
    </w:p>
    <w:p w:rsidR="003D02D4" w:rsidRPr="00B50274" w:rsidRDefault="00292809" w:rsidP="003D02D4">
      <w:pPr>
        <w:ind w:left="851" w:right="901"/>
        <w:jc w:val="both"/>
        <w:rPr>
          <w:rFonts w:ascii="Palatino Linotype" w:hAnsi="Palatino Linotype" w:cs="Arial"/>
          <w:i/>
        </w:rPr>
      </w:pPr>
      <w:r w:rsidRPr="00B50274">
        <w:rPr>
          <w:rFonts w:ascii="Palatino Linotype" w:hAnsi="Palatino Linotype" w:cs="Arial"/>
          <w:i/>
        </w:rPr>
        <w:t xml:space="preserve">XL. Las </w:t>
      </w:r>
      <w:r w:rsidRPr="00B50274">
        <w:rPr>
          <w:rFonts w:ascii="Palatino Linotype" w:hAnsi="Palatino Linotype" w:cs="Arial"/>
          <w:i/>
          <w:u w:val="single"/>
        </w:rPr>
        <w:t>resoluciones y laudos que se emitan en procesos o procedimientos seguidos en forma de juicio</w:t>
      </w:r>
      <w:r w:rsidR="003D02D4" w:rsidRPr="00B50274">
        <w:rPr>
          <w:rFonts w:ascii="Palatino Linotype" w:hAnsi="Palatino Linotype" w:cs="Arial"/>
          <w:i/>
        </w:rPr>
        <w:t>;</w:t>
      </w:r>
    </w:p>
    <w:p w:rsidR="003D02D4" w:rsidRPr="00B50274" w:rsidRDefault="003D02D4" w:rsidP="003D02D4">
      <w:pPr>
        <w:ind w:left="851" w:right="901"/>
        <w:jc w:val="both"/>
        <w:rPr>
          <w:rFonts w:ascii="Palatino Linotype" w:hAnsi="Palatino Linotype" w:cs="Arial"/>
          <w:i/>
        </w:rPr>
      </w:pPr>
      <w:r w:rsidRPr="00B50274">
        <w:rPr>
          <w:rFonts w:ascii="Palatino Linotype" w:hAnsi="Palatino Linotype" w:cs="Arial"/>
          <w:i/>
        </w:rPr>
        <w:t>…</w:t>
      </w:r>
    </w:p>
    <w:p w:rsidR="003D02D4" w:rsidRPr="00B50274" w:rsidRDefault="003D02D4" w:rsidP="003D02D4">
      <w:pPr>
        <w:ind w:left="851" w:right="901"/>
        <w:jc w:val="both"/>
        <w:rPr>
          <w:rFonts w:ascii="Palatino Linotype" w:hAnsi="Palatino Linotype" w:cs="Arial"/>
          <w:i/>
        </w:rPr>
      </w:pPr>
      <w:r w:rsidRPr="00B50274">
        <w:rPr>
          <w:rFonts w:ascii="Palatino Linotype" w:hAnsi="Palatino Linotype" w:cs="Arial"/>
          <w:i/>
        </w:rPr>
        <w:t xml:space="preserve">(Énfasis añadido). </w:t>
      </w:r>
    </w:p>
    <w:p w:rsidR="00425395" w:rsidRPr="00B50274" w:rsidRDefault="00425395" w:rsidP="003D02D4">
      <w:pPr>
        <w:ind w:left="851" w:right="901"/>
        <w:jc w:val="both"/>
        <w:rPr>
          <w:rFonts w:ascii="Palatino Linotype" w:hAnsi="Palatino Linotype" w:cs="Arial"/>
          <w:i/>
        </w:rPr>
      </w:pPr>
    </w:p>
    <w:p w:rsidR="00425395" w:rsidRPr="00B50274" w:rsidRDefault="00425395" w:rsidP="00425395">
      <w:pPr>
        <w:pStyle w:val="Prrafodelista"/>
        <w:numPr>
          <w:ilvl w:val="0"/>
          <w:numId w:val="2"/>
        </w:numPr>
        <w:spacing w:after="0" w:line="360" w:lineRule="auto"/>
        <w:jc w:val="both"/>
        <w:rPr>
          <w:rFonts w:ascii="Palatino Linotype" w:eastAsia="Times New Roman" w:hAnsi="Palatino Linotype" w:cs="Arial"/>
          <w:sz w:val="24"/>
          <w:lang w:val="es-ES"/>
        </w:rPr>
      </w:pPr>
      <w:r w:rsidRPr="00B50274">
        <w:rPr>
          <w:rFonts w:ascii="Palatino Linotype" w:eastAsia="Times New Roman" w:hAnsi="Palatino Linotype" w:cs="Arial"/>
          <w:sz w:val="24"/>
          <w:lang w:val="es-ES"/>
        </w:rPr>
        <w:t>Aunado a lo anterior la Ley de la materia establece la información que se entregue en versión pública, cuya modalidad de reproducción o envío tenga un costo, procederá una vez que se acredite el pago respectivo; por lo tanto, no puede entenderse como reproducción la elaboración de la misma</w:t>
      </w:r>
      <w:r w:rsidRPr="00B50274">
        <w:rPr>
          <w:rStyle w:val="Refdenotaalpie"/>
          <w:rFonts w:ascii="Palatino Linotype" w:eastAsia="Times New Roman" w:hAnsi="Palatino Linotype" w:cs="Arial"/>
          <w:sz w:val="24"/>
          <w:lang w:val="es-ES"/>
        </w:rPr>
        <w:footnoteReference w:id="1"/>
      </w:r>
      <w:r w:rsidRPr="00B50274">
        <w:rPr>
          <w:rFonts w:ascii="Palatino Linotype" w:eastAsia="Times New Roman" w:hAnsi="Palatino Linotype" w:cs="Arial"/>
          <w:sz w:val="24"/>
          <w:lang w:val="es-ES"/>
        </w:rPr>
        <w:t xml:space="preserve">, es así que el pago para realizar la versión publica no es procedente. </w:t>
      </w:r>
    </w:p>
    <w:p w:rsidR="003D02D4" w:rsidRPr="00B50274" w:rsidRDefault="003D02D4" w:rsidP="003D02D4">
      <w:pPr>
        <w:pStyle w:val="Prrafodelista"/>
        <w:spacing w:line="360" w:lineRule="auto"/>
        <w:ind w:left="851" w:right="567"/>
        <w:jc w:val="both"/>
        <w:rPr>
          <w:rFonts w:ascii="Palatino Linotype" w:hAnsi="Palatino Linotype"/>
          <w:i/>
        </w:rPr>
      </w:pPr>
    </w:p>
    <w:p w:rsidR="00292809" w:rsidRPr="00B50274" w:rsidRDefault="00292809" w:rsidP="00292809">
      <w:pPr>
        <w:pStyle w:val="Prrafodelista"/>
        <w:numPr>
          <w:ilvl w:val="0"/>
          <w:numId w:val="2"/>
        </w:numPr>
        <w:spacing w:after="0" w:line="360" w:lineRule="auto"/>
        <w:jc w:val="both"/>
        <w:rPr>
          <w:rFonts w:ascii="Palatino Linotype" w:eastAsia="Times New Roman" w:hAnsi="Palatino Linotype" w:cs="Arial"/>
          <w:sz w:val="24"/>
          <w:lang w:val="es-ES"/>
        </w:rPr>
      </w:pPr>
      <w:r w:rsidRPr="00B50274">
        <w:rPr>
          <w:rFonts w:ascii="Palatino Linotype" w:eastAsia="Times New Roman" w:hAnsi="Palatino Linotype" w:cs="Arial"/>
          <w:sz w:val="24"/>
          <w:lang w:val="es-ES"/>
        </w:rPr>
        <w:t xml:space="preserve">Por lo tanto, no es procedente el cobro que pretende hacer valer el Sujeto Obligado y por consecuencia, es dable ordenar vía SAIMEX el documento o los documentos donde se aprecie o consten el expediente OSFEM/UAJ/PAR-IM/294/13, la Resolución emitida en el expediente RR-PAR/370/14 y su acumulado RR-PAR/371/14 y sus respectivas constancias de notificación; la sentencia dictada en el juicio de amparo 1900/2015 y la sentencia del amparo en revisión 165/2016, en versión pública en términos el Considerando Quinto. </w:t>
      </w:r>
    </w:p>
    <w:p w:rsidR="00292809" w:rsidRPr="00B50274" w:rsidRDefault="00292809" w:rsidP="00292809">
      <w:pPr>
        <w:pStyle w:val="Prrafodelista"/>
        <w:numPr>
          <w:ilvl w:val="0"/>
          <w:numId w:val="2"/>
        </w:numPr>
        <w:spacing w:after="0" w:line="360" w:lineRule="auto"/>
        <w:jc w:val="both"/>
        <w:rPr>
          <w:rFonts w:ascii="Palatino Linotype" w:eastAsia="Times New Roman" w:hAnsi="Palatino Linotype" w:cs="Arial"/>
          <w:lang w:val="es-ES"/>
        </w:rPr>
      </w:pPr>
      <w:r w:rsidRPr="00B50274">
        <w:rPr>
          <w:rFonts w:ascii="Palatino Linotype" w:eastAsia="Times New Roman" w:hAnsi="Palatino Linotype" w:cs="Arial"/>
          <w:sz w:val="24"/>
          <w:lang w:val="es-ES"/>
        </w:rPr>
        <w:t xml:space="preserve">Finalmente, respecto al punto 5 consistente en acceder a los documentos que el OSFEM solicitó al Municipio de </w:t>
      </w:r>
      <w:proofErr w:type="spellStart"/>
      <w:r w:rsidRPr="00B50274">
        <w:rPr>
          <w:rFonts w:ascii="Palatino Linotype" w:eastAsia="Times New Roman" w:hAnsi="Palatino Linotype" w:cs="Arial"/>
          <w:sz w:val="24"/>
          <w:lang w:val="es-ES"/>
        </w:rPr>
        <w:t>Xonacatlán</w:t>
      </w:r>
      <w:proofErr w:type="spellEnd"/>
      <w:r w:rsidRPr="00B50274">
        <w:rPr>
          <w:rFonts w:ascii="Palatino Linotype" w:eastAsia="Times New Roman" w:hAnsi="Palatino Linotype" w:cs="Arial"/>
          <w:sz w:val="24"/>
          <w:lang w:val="es-ES"/>
        </w:rPr>
        <w:t xml:space="preserve"> por concepto de requerimiento y pago de la responsabilidad administrativa resarcitoria determinada en el expediente OSFEM/UAJ/PAR-IM/294/13; para lo cual el Sujeto Obligado señaló que no cuenta con dicha información por no haber sido actualmente informada por las autoridades correspondientes y por lo cual, sugería dirigir su petición al municipio de </w:t>
      </w:r>
      <w:proofErr w:type="spellStart"/>
      <w:r w:rsidRPr="00B50274">
        <w:rPr>
          <w:rFonts w:ascii="Palatino Linotype" w:eastAsia="Times New Roman" w:hAnsi="Palatino Linotype" w:cs="Arial"/>
          <w:sz w:val="24"/>
          <w:lang w:val="es-ES"/>
        </w:rPr>
        <w:t>Xonacatlán</w:t>
      </w:r>
      <w:proofErr w:type="spellEnd"/>
      <w:r w:rsidRPr="00B50274">
        <w:rPr>
          <w:rFonts w:ascii="Palatino Linotype" w:eastAsia="Times New Roman" w:hAnsi="Palatino Linotype" w:cs="Arial"/>
          <w:sz w:val="24"/>
          <w:lang w:val="es-ES"/>
        </w:rPr>
        <w:t xml:space="preserve">, México. </w:t>
      </w:r>
    </w:p>
    <w:p w:rsidR="00292809" w:rsidRPr="00B50274" w:rsidRDefault="00292809" w:rsidP="00292809">
      <w:pPr>
        <w:pStyle w:val="Prrafodelista"/>
        <w:rPr>
          <w:rFonts w:ascii="Palatino Linotype" w:eastAsia="Times New Roman" w:hAnsi="Palatino Linotype" w:cs="Arial"/>
          <w:lang w:val="es-ES"/>
        </w:rPr>
      </w:pPr>
    </w:p>
    <w:p w:rsidR="00292809" w:rsidRPr="00B50274" w:rsidRDefault="00292809" w:rsidP="00292809">
      <w:pPr>
        <w:pStyle w:val="Prrafodelista"/>
        <w:numPr>
          <w:ilvl w:val="0"/>
          <w:numId w:val="2"/>
        </w:numPr>
        <w:spacing w:after="0" w:line="360" w:lineRule="auto"/>
        <w:jc w:val="both"/>
        <w:rPr>
          <w:rFonts w:ascii="Palatino Linotype" w:eastAsia="Times New Roman" w:hAnsi="Palatino Linotype" w:cs="Arial"/>
          <w:sz w:val="24"/>
          <w:lang w:val="es-ES"/>
        </w:rPr>
      </w:pPr>
      <w:r w:rsidRPr="00B50274">
        <w:rPr>
          <w:rFonts w:ascii="Palatino Linotype" w:eastAsia="Times New Roman" w:hAnsi="Palatino Linotype" w:cs="Arial"/>
          <w:sz w:val="24"/>
          <w:lang w:val="es-ES"/>
        </w:rPr>
        <w:lastRenderedPageBreak/>
        <w:t xml:space="preserve">Es así, que la Ley de Fiscalización Superior del Estado de México establece las atribuciones del Órgano Superior, como a continuación se indica:  </w:t>
      </w:r>
    </w:p>
    <w:p w:rsidR="00292809" w:rsidRPr="00B50274" w:rsidRDefault="00292809" w:rsidP="00292809">
      <w:pPr>
        <w:ind w:left="851" w:right="901"/>
        <w:jc w:val="both"/>
        <w:rPr>
          <w:rFonts w:ascii="Palatino Linotype" w:hAnsi="Palatino Linotype" w:cs="Arial"/>
          <w:i/>
        </w:rPr>
      </w:pPr>
      <w:r w:rsidRPr="00B50274">
        <w:rPr>
          <w:rFonts w:ascii="Palatino Linotype" w:hAnsi="Palatino Linotype" w:cs="Arial"/>
          <w:i/>
        </w:rPr>
        <w:t xml:space="preserve">Artículo 8.- El </w:t>
      </w:r>
      <w:r w:rsidRPr="00B50274">
        <w:rPr>
          <w:rFonts w:ascii="Palatino Linotype" w:hAnsi="Palatino Linotype" w:cs="Arial"/>
          <w:i/>
          <w:u w:val="single"/>
        </w:rPr>
        <w:t>Órgano Superior</w:t>
      </w:r>
      <w:r w:rsidRPr="00B50274">
        <w:rPr>
          <w:rFonts w:ascii="Palatino Linotype" w:hAnsi="Palatino Linotype" w:cs="Arial"/>
          <w:i/>
        </w:rPr>
        <w:t xml:space="preserve"> tendrá las siguientes </w:t>
      </w:r>
      <w:r w:rsidRPr="00B50274">
        <w:rPr>
          <w:rFonts w:ascii="Palatino Linotype" w:hAnsi="Palatino Linotype" w:cs="Arial"/>
          <w:i/>
          <w:u w:val="single"/>
        </w:rPr>
        <w:t>atribuciones</w:t>
      </w:r>
      <w:r w:rsidRPr="00B50274">
        <w:rPr>
          <w:rFonts w:ascii="Palatino Linotype" w:hAnsi="Palatino Linotype" w:cs="Arial"/>
          <w:i/>
        </w:rPr>
        <w:t>:</w:t>
      </w:r>
      <w:r w:rsidRPr="00B50274">
        <w:rPr>
          <w:rFonts w:ascii="Palatino Linotype" w:hAnsi="Palatino Linotype" w:cs="Arial"/>
          <w:i/>
        </w:rPr>
        <w:cr/>
        <w:t>…</w:t>
      </w:r>
      <w:r w:rsidRPr="00B50274">
        <w:rPr>
          <w:rFonts w:ascii="Palatino Linotype" w:hAnsi="Palatino Linotype" w:cs="Arial"/>
          <w:i/>
        </w:rPr>
        <w:cr/>
        <w:t xml:space="preserve">XXII. Promover ante las autoridades competentes el </w:t>
      </w:r>
      <w:proofErr w:type="spellStart"/>
      <w:r w:rsidRPr="00B50274">
        <w:rPr>
          <w:rFonts w:ascii="Palatino Linotype" w:hAnsi="Palatino Linotype" w:cs="Arial"/>
          <w:i/>
        </w:rPr>
        <w:t>fincamiento</w:t>
      </w:r>
      <w:proofErr w:type="spellEnd"/>
      <w:r w:rsidRPr="00B50274">
        <w:rPr>
          <w:rFonts w:ascii="Palatino Linotype" w:hAnsi="Palatino Linotype" w:cs="Arial"/>
          <w:i/>
        </w:rPr>
        <w:t xml:space="preserve"> e </w:t>
      </w:r>
      <w:r w:rsidRPr="00B50274">
        <w:rPr>
          <w:rFonts w:ascii="Palatino Linotype" w:hAnsi="Palatino Linotype" w:cs="Arial"/>
          <w:i/>
          <w:u w:val="single"/>
        </w:rPr>
        <w:t xml:space="preserve">imposición de las responsabilidades </w:t>
      </w:r>
      <w:r w:rsidRPr="00B50274">
        <w:rPr>
          <w:rFonts w:ascii="Palatino Linotype" w:hAnsi="Palatino Linotype" w:cs="Arial"/>
          <w:i/>
        </w:rPr>
        <w:t>a que se refiere el Título Séptimo de la Constitución Política del Estado Libre y Soberano de México, así como presentar las denuncias o querellas penales que correspondan, en cualquier momento cuando se cuenten con los elementos que establezcan las leyes de la materia, con sustento en un expediente técnico.</w:t>
      </w:r>
      <w:r w:rsidRPr="00B50274">
        <w:rPr>
          <w:rFonts w:ascii="Palatino Linotype" w:hAnsi="Palatino Linotype" w:cs="Arial"/>
          <w:i/>
        </w:rPr>
        <w:cr/>
        <w:t>XXIII. Conocer las denuncias presentadas en contra de los servidores públicos de las entidades fiscalizables o de los que hayan dejado de serlo, conforme a lo dispuesto en la Ley General de Responsabilidades Administrativas, la Ley de Responsabilidades Administrativas del Estado de México y Municipios y previo análisis de procedencia, revisar los actos denunciados, durante el ejercicio fiscal en curso, así como de ejercicios anteriores o en su caso remitirlas a la autoridad competente.</w:t>
      </w:r>
      <w:r w:rsidRPr="00B50274">
        <w:rPr>
          <w:rFonts w:ascii="Palatino Linotype" w:hAnsi="Palatino Linotype" w:cs="Arial"/>
          <w:i/>
        </w:rPr>
        <w:cr/>
        <w:t>…”</w:t>
      </w:r>
      <w:r w:rsidRPr="00B50274">
        <w:rPr>
          <w:rFonts w:ascii="Palatino Linotype" w:hAnsi="Palatino Linotype" w:cs="Arial"/>
          <w:i/>
        </w:rPr>
        <w:cr/>
        <w:t>(Énfasis añadido)</w:t>
      </w:r>
    </w:p>
    <w:p w:rsidR="00FA6BB3" w:rsidRPr="00B50274" w:rsidRDefault="00FA6BB3" w:rsidP="00FA6BB3">
      <w:pPr>
        <w:spacing w:line="240" w:lineRule="auto"/>
        <w:ind w:left="851" w:right="901"/>
        <w:jc w:val="both"/>
        <w:rPr>
          <w:rFonts w:ascii="Palatino Linotype" w:hAnsi="Palatino Linotype" w:cs="Arial"/>
          <w:i/>
        </w:rPr>
      </w:pPr>
    </w:p>
    <w:p w:rsidR="00292809" w:rsidRPr="00B50274" w:rsidRDefault="00FA6BB3" w:rsidP="00FA6BB3">
      <w:pPr>
        <w:pStyle w:val="Prrafodelista"/>
        <w:numPr>
          <w:ilvl w:val="0"/>
          <w:numId w:val="2"/>
        </w:numPr>
        <w:spacing w:after="0" w:line="360" w:lineRule="auto"/>
        <w:jc w:val="both"/>
        <w:rPr>
          <w:rFonts w:ascii="Palatino Linotype" w:eastAsia="Times New Roman" w:hAnsi="Palatino Linotype" w:cs="Arial"/>
          <w:sz w:val="24"/>
          <w:lang w:val="es-ES"/>
        </w:rPr>
      </w:pPr>
      <w:r w:rsidRPr="00B50274">
        <w:rPr>
          <w:rFonts w:ascii="Palatino Linotype" w:eastAsia="Times New Roman" w:hAnsi="Palatino Linotype" w:cs="Arial"/>
          <w:sz w:val="24"/>
          <w:lang w:val="es-ES"/>
        </w:rPr>
        <w:t>Aunado a lo anterior, establece que el Órgano Superior contará con una Unidad de Asuntos Jurídicos la cual tendrá la facultad de substanciar el procedimiento de responsabilidad administrativa que proceda y remitirlo, en su caso, al Tribunal de Justicia Administrativa del Estado de México.</w:t>
      </w:r>
    </w:p>
    <w:p w:rsidR="00FA6BB3" w:rsidRPr="00B50274" w:rsidRDefault="00FA6BB3" w:rsidP="00FA6BB3">
      <w:pPr>
        <w:pStyle w:val="Prrafodelista"/>
        <w:spacing w:after="0" w:line="360" w:lineRule="auto"/>
        <w:ind w:left="360"/>
        <w:jc w:val="both"/>
        <w:rPr>
          <w:rFonts w:ascii="Palatino Linotype" w:eastAsia="Times New Roman" w:hAnsi="Palatino Linotype" w:cs="Arial"/>
          <w:sz w:val="24"/>
          <w:lang w:val="es-ES"/>
        </w:rPr>
      </w:pPr>
    </w:p>
    <w:p w:rsidR="00FA6BB3" w:rsidRPr="00B50274" w:rsidRDefault="00FA6BB3" w:rsidP="00FA6BB3">
      <w:pPr>
        <w:pStyle w:val="Prrafodelista"/>
        <w:numPr>
          <w:ilvl w:val="0"/>
          <w:numId w:val="2"/>
        </w:numPr>
        <w:spacing w:after="0" w:line="360" w:lineRule="auto"/>
        <w:jc w:val="both"/>
        <w:rPr>
          <w:rFonts w:ascii="Palatino Linotype" w:eastAsia="Times New Roman" w:hAnsi="Palatino Linotype" w:cs="Arial"/>
          <w:sz w:val="24"/>
          <w:lang w:val="es-ES"/>
        </w:rPr>
      </w:pPr>
      <w:r w:rsidRPr="00B50274">
        <w:rPr>
          <w:rFonts w:ascii="Palatino Linotype" w:eastAsia="Times New Roman" w:hAnsi="Palatino Linotype" w:cs="Arial"/>
          <w:sz w:val="24"/>
          <w:lang w:val="es-ES"/>
        </w:rPr>
        <w:t>En ese orden de ideas, el Reglamento Interior del Órgano Superior de Fiscalización del Estado de México, establece las atribuciones que cuenta el Auditor Superior,  la Unidad de Asuntos Jurídicos y la Coordinación de Control y Auditoría Interna del Órgano Superior, como a continuación se indica:</w:t>
      </w:r>
    </w:p>
    <w:p w:rsidR="00FA6BB3" w:rsidRPr="00B50274" w:rsidRDefault="00FA6BB3" w:rsidP="00FA6BB3">
      <w:pPr>
        <w:ind w:left="851" w:right="901"/>
        <w:jc w:val="both"/>
        <w:rPr>
          <w:rFonts w:ascii="Palatino Linotype" w:hAnsi="Palatino Linotype" w:cs="Arial"/>
          <w:i/>
        </w:rPr>
      </w:pPr>
      <w:r w:rsidRPr="00B50274">
        <w:rPr>
          <w:rFonts w:ascii="Palatino Linotype" w:hAnsi="Palatino Linotype" w:cs="Arial"/>
          <w:i/>
        </w:rPr>
        <w:lastRenderedPageBreak/>
        <w:t>“</w:t>
      </w:r>
      <w:r w:rsidRPr="00B50274">
        <w:rPr>
          <w:rFonts w:ascii="Palatino Linotype" w:hAnsi="Palatino Linotype" w:cs="Arial"/>
          <w:b/>
          <w:i/>
        </w:rPr>
        <w:t>ARTÍCULO 6</w:t>
      </w:r>
      <w:r w:rsidRPr="00B50274">
        <w:rPr>
          <w:rFonts w:ascii="Palatino Linotype" w:hAnsi="Palatino Linotype" w:cs="Arial"/>
          <w:i/>
        </w:rPr>
        <w:t xml:space="preserve">.- El Auditor Superior tendrá además de las señaladas por el artículo 13 de la Ley de Fiscalización, las siguientes </w:t>
      </w:r>
      <w:r w:rsidRPr="00B50274">
        <w:rPr>
          <w:rFonts w:ascii="Palatino Linotype" w:hAnsi="Palatino Linotype" w:cs="Arial"/>
          <w:i/>
          <w:u w:val="single"/>
        </w:rPr>
        <w:t>atribuciones delegables</w:t>
      </w:r>
      <w:r w:rsidRPr="00B50274">
        <w:rPr>
          <w:rFonts w:ascii="Palatino Linotype" w:hAnsi="Palatino Linotype" w:cs="Arial"/>
          <w:i/>
        </w:rPr>
        <w:t>:</w:t>
      </w:r>
      <w:r w:rsidRPr="00B50274">
        <w:rPr>
          <w:rFonts w:ascii="Palatino Linotype" w:hAnsi="Palatino Linotype" w:cs="Arial"/>
          <w:i/>
        </w:rPr>
        <w:cr/>
        <w:t>…</w:t>
      </w:r>
      <w:r w:rsidRPr="00B50274">
        <w:rPr>
          <w:rFonts w:ascii="Palatino Linotype" w:hAnsi="Palatino Linotype" w:cs="Arial"/>
          <w:i/>
        </w:rPr>
        <w:cr/>
        <w:t xml:space="preserve">X. Solicitar </w:t>
      </w:r>
      <w:r w:rsidRPr="00B50274">
        <w:rPr>
          <w:rFonts w:ascii="Palatino Linotype" w:hAnsi="Palatino Linotype" w:cs="Arial"/>
          <w:i/>
          <w:u w:val="single"/>
        </w:rPr>
        <w:t>ante las autoridades competentes el cobro de las multas, sanciones económicas y responsabilidades resarcitorias</w:t>
      </w:r>
      <w:r w:rsidRPr="00B50274">
        <w:rPr>
          <w:rFonts w:ascii="Palatino Linotype" w:hAnsi="Palatino Linotype" w:cs="Arial"/>
          <w:i/>
        </w:rPr>
        <w:t>, impuestas en términos de la Ley de Fiscalización;</w:t>
      </w:r>
      <w:r w:rsidRPr="00B50274">
        <w:rPr>
          <w:rFonts w:ascii="Palatino Linotype" w:hAnsi="Palatino Linotype" w:cs="Arial"/>
          <w:i/>
        </w:rPr>
        <w:cr/>
        <w:t>…</w:t>
      </w:r>
      <w:r w:rsidRPr="00B50274">
        <w:rPr>
          <w:rFonts w:ascii="Palatino Linotype" w:hAnsi="Palatino Linotype" w:cs="Arial"/>
          <w:i/>
        </w:rPr>
        <w:cr/>
        <w:t xml:space="preserve">ARTÍCULO 7.- Son atribuciones </w:t>
      </w:r>
      <w:r w:rsidRPr="00B50274">
        <w:rPr>
          <w:rFonts w:ascii="Palatino Linotype" w:hAnsi="Palatino Linotype" w:cs="Arial"/>
          <w:i/>
          <w:u w:val="single"/>
        </w:rPr>
        <w:t>no delegables</w:t>
      </w:r>
      <w:r w:rsidRPr="00B50274">
        <w:rPr>
          <w:rFonts w:ascii="Palatino Linotype" w:hAnsi="Palatino Linotype" w:cs="Arial"/>
          <w:i/>
        </w:rPr>
        <w:t xml:space="preserve"> del Auditor Superior las siguientes:</w:t>
      </w:r>
      <w:r w:rsidRPr="00B50274">
        <w:rPr>
          <w:rFonts w:ascii="Palatino Linotype" w:hAnsi="Palatino Linotype" w:cs="Arial"/>
          <w:i/>
        </w:rPr>
        <w:cr/>
        <w:t>…</w:t>
      </w:r>
      <w:r w:rsidRPr="00B50274">
        <w:rPr>
          <w:rFonts w:ascii="Palatino Linotype" w:hAnsi="Palatino Linotype" w:cs="Arial"/>
          <w:i/>
        </w:rPr>
        <w:cr/>
        <w:t xml:space="preserve">XII. </w:t>
      </w:r>
      <w:r w:rsidRPr="00B50274">
        <w:rPr>
          <w:rFonts w:ascii="Palatino Linotype" w:hAnsi="Palatino Linotype" w:cs="Arial"/>
          <w:i/>
          <w:u w:val="single"/>
        </w:rPr>
        <w:t xml:space="preserve">Instruir los procedimientos para el </w:t>
      </w:r>
      <w:proofErr w:type="spellStart"/>
      <w:r w:rsidRPr="00B50274">
        <w:rPr>
          <w:rFonts w:ascii="Palatino Linotype" w:hAnsi="Palatino Linotype" w:cs="Arial"/>
          <w:i/>
          <w:u w:val="single"/>
        </w:rPr>
        <w:t>fincamiento</w:t>
      </w:r>
      <w:proofErr w:type="spellEnd"/>
      <w:r w:rsidRPr="00B50274">
        <w:rPr>
          <w:rFonts w:ascii="Palatino Linotype" w:hAnsi="Palatino Linotype" w:cs="Arial"/>
          <w:i/>
          <w:u w:val="single"/>
        </w:rPr>
        <w:t xml:space="preserve"> de las responsabilidades administrativas resarcitorias en que incurran los servidores públicos de las entidades fiscalizables por actos u omisiones</w:t>
      </w:r>
      <w:r w:rsidRPr="00B50274">
        <w:rPr>
          <w:rFonts w:ascii="Palatino Linotype" w:hAnsi="Palatino Linotype" w:cs="Arial"/>
          <w:i/>
        </w:rPr>
        <w:t xml:space="preserve">, con respecto a las obligaciones señaladas en la legislación aplicable y promover, ante las instancias competentes, el </w:t>
      </w:r>
      <w:proofErr w:type="spellStart"/>
      <w:r w:rsidRPr="00B50274">
        <w:rPr>
          <w:rFonts w:ascii="Palatino Linotype" w:hAnsi="Palatino Linotype" w:cs="Arial"/>
          <w:i/>
        </w:rPr>
        <w:t>fincamiento</w:t>
      </w:r>
      <w:proofErr w:type="spellEnd"/>
      <w:r w:rsidRPr="00B50274">
        <w:rPr>
          <w:rFonts w:ascii="Palatino Linotype" w:hAnsi="Palatino Linotype" w:cs="Arial"/>
          <w:i/>
        </w:rPr>
        <w:t xml:space="preserve"> de las demás responsabilidades a que se refiere el Título Séptimo de la Constitución Política del Estado Libre y Soberano de México;</w:t>
      </w:r>
      <w:r w:rsidRPr="00B50274">
        <w:rPr>
          <w:rFonts w:ascii="Palatino Linotype" w:hAnsi="Palatino Linotype" w:cs="Arial"/>
          <w:i/>
        </w:rPr>
        <w:cr/>
        <w:t>…</w:t>
      </w:r>
      <w:r w:rsidRPr="00B50274">
        <w:rPr>
          <w:rFonts w:ascii="Palatino Linotype" w:hAnsi="Palatino Linotype" w:cs="Arial"/>
          <w:i/>
        </w:rPr>
        <w:cr/>
      </w:r>
      <w:r w:rsidRPr="00B50274">
        <w:rPr>
          <w:rFonts w:ascii="Palatino Linotype" w:hAnsi="Palatino Linotype" w:cs="Arial"/>
          <w:b/>
          <w:i/>
        </w:rPr>
        <w:t>ARTÍCULO 9.-</w:t>
      </w:r>
      <w:r w:rsidRPr="00B50274">
        <w:rPr>
          <w:rFonts w:ascii="Palatino Linotype" w:hAnsi="Palatino Linotype" w:cs="Arial"/>
          <w:i/>
        </w:rPr>
        <w:t xml:space="preserve"> A la </w:t>
      </w:r>
      <w:r w:rsidRPr="00B50274">
        <w:rPr>
          <w:rFonts w:ascii="Palatino Linotype" w:hAnsi="Palatino Linotype" w:cs="Arial"/>
          <w:i/>
          <w:u w:val="single"/>
        </w:rPr>
        <w:t>Unidad de Asuntos Jurídicos</w:t>
      </w:r>
      <w:r w:rsidRPr="00B50274">
        <w:rPr>
          <w:rFonts w:ascii="Palatino Linotype" w:hAnsi="Palatino Linotype" w:cs="Arial"/>
          <w:i/>
        </w:rPr>
        <w:t xml:space="preserve"> le corresponden, además de las establecidas en la Ley de Fiscalización, las siguientes </w:t>
      </w:r>
      <w:r w:rsidRPr="00B50274">
        <w:rPr>
          <w:rFonts w:ascii="Palatino Linotype" w:hAnsi="Palatino Linotype" w:cs="Arial"/>
          <w:i/>
          <w:u w:val="single"/>
        </w:rPr>
        <w:t>atribuciones</w:t>
      </w:r>
      <w:r w:rsidRPr="00B50274">
        <w:rPr>
          <w:rFonts w:ascii="Palatino Linotype" w:hAnsi="Palatino Linotype" w:cs="Arial"/>
          <w:i/>
        </w:rPr>
        <w:t>:</w:t>
      </w:r>
      <w:r w:rsidRPr="00B50274">
        <w:rPr>
          <w:rFonts w:ascii="Palatino Linotype" w:hAnsi="Palatino Linotype" w:cs="Arial"/>
          <w:i/>
        </w:rPr>
        <w:cr/>
        <w:t>…</w:t>
      </w:r>
      <w:r w:rsidRPr="00B50274">
        <w:rPr>
          <w:rFonts w:ascii="Palatino Linotype" w:hAnsi="Palatino Linotype" w:cs="Arial"/>
          <w:i/>
        </w:rPr>
        <w:cr/>
        <w:t xml:space="preserve">VI. Someter a la consideración del Auditor Superior </w:t>
      </w:r>
      <w:r w:rsidRPr="00B50274">
        <w:rPr>
          <w:rFonts w:ascii="Palatino Linotype" w:hAnsi="Palatino Linotype" w:cs="Arial"/>
          <w:i/>
          <w:u w:val="single"/>
        </w:rPr>
        <w:t xml:space="preserve">los proyectos mediante los cuales se promueva el </w:t>
      </w:r>
      <w:proofErr w:type="spellStart"/>
      <w:r w:rsidRPr="00B50274">
        <w:rPr>
          <w:rFonts w:ascii="Palatino Linotype" w:hAnsi="Palatino Linotype" w:cs="Arial"/>
          <w:i/>
          <w:u w:val="single"/>
        </w:rPr>
        <w:t>fincamiento</w:t>
      </w:r>
      <w:proofErr w:type="spellEnd"/>
      <w:r w:rsidRPr="00B50274">
        <w:rPr>
          <w:rFonts w:ascii="Palatino Linotype" w:hAnsi="Palatino Linotype" w:cs="Arial"/>
          <w:i/>
          <w:u w:val="single"/>
        </w:rPr>
        <w:t xml:space="preserve"> de responsabilidades</w:t>
      </w:r>
      <w:r w:rsidRPr="00B50274">
        <w:rPr>
          <w:rFonts w:ascii="Palatino Linotype" w:hAnsi="Palatino Linotype" w:cs="Arial"/>
          <w:i/>
        </w:rPr>
        <w:t xml:space="preserve"> civiles, penales y </w:t>
      </w:r>
      <w:r w:rsidRPr="00B50274">
        <w:rPr>
          <w:rFonts w:ascii="Palatino Linotype" w:hAnsi="Palatino Linotype" w:cs="Arial"/>
          <w:i/>
          <w:u w:val="single"/>
        </w:rPr>
        <w:t>administrativas</w:t>
      </w:r>
      <w:r w:rsidRPr="00B50274">
        <w:rPr>
          <w:rFonts w:ascii="Palatino Linotype" w:hAnsi="Palatino Linotype" w:cs="Arial"/>
          <w:i/>
        </w:rPr>
        <w:t>;</w:t>
      </w:r>
      <w:r w:rsidRPr="00B50274">
        <w:rPr>
          <w:rFonts w:ascii="Palatino Linotype" w:hAnsi="Palatino Linotype" w:cs="Arial"/>
          <w:i/>
        </w:rPr>
        <w:cr/>
        <w:t>…</w:t>
      </w:r>
      <w:r w:rsidRPr="00B50274">
        <w:rPr>
          <w:rFonts w:ascii="Palatino Linotype" w:hAnsi="Palatino Linotype" w:cs="Arial"/>
          <w:i/>
        </w:rPr>
        <w:cr/>
      </w:r>
      <w:r w:rsidRPr="00B50274">
        <w:rPr>
          <w:rFonts w:ascii="Palatino Linotype" w:hAnsi="Palatino Linotype" w:cs="Arial"/>
          <w:b/>
          <w:i/>
        </w:rPr>
        <w:t>ARTÍCULO 13</w:t>
      </w:r>
      <w:r w:rsidRPr="00B50274">
        <w:rPr>
          <w:rFonts w:ascii="Palatino Linotype" w:hAnsi="Palatino Linotype" w:cs="Arial"/>
          <w:i/>
        </w:rPr>
        <w:t xml:space="preserve">.- La </w:t>
      </w:r>
      <w:r w:rsidRPr="00B50274">
        <w:rPr>
          <w:rFonts w:ascii="Palatino Linotype" w:hAnsi="Palatino Linotype" w:cs="Arial"/>
          <w:i/>
          <w:u w:val="single"/>
        </w:rPr>
        <w:t xml:space="preserve">Coordinación de Control y Auditoría Interna del Órgano Superior </w:t>
      </w:r>
      <w:r w:rsidRPr="00B50274">
        <w:rPr>
          <w:rFonts w:ascii="Palatino Linotype" w:hAnsi="Palatino Linotype" w:cs="Arial"/>
          <w:i/>
        </w:rPr>
        <w:t>es una unidad administrativa dependiente del Auditor Superior que, sin perjuicio de las facultades que, en términos de las disposiciones legales aplicables, le correspondan a la Contraloría del Poder Legislativo, tendrá las siguiente s atribuciones:</w:t>
      </w:r>
      <w:r w:rsidRPr="00B50274">
        <w:rPr>
          <w:rFonts w:ascii="Palatino Linotype" w:hAnsi="Palatino Linotype" w:cs="Arial"/>
          <w:i/>
        </w:rPr>
        <w:cr/>
        <w:t>…</w:t>
      </w:r>
      <w:r w:rsidRPr="00B50274">
        <w:rPr>
          <w:rFonts w:ascii="Palatino Linotype" w:hAnsi="Palatino Linotype" w:cs="Arial"/>
          <w:i/>
        </w:rPr>
        <w:cr/>
        <w:t xml:space="preserve">X. </w:t>
      </w:r>
      <w:r w:rsidRPr="00B50274">
        <w:rPr>
          <w:rFonts w:ascii="Palatino Linotype" w:hAnsi="Palatino Linotype" w:cs="Arial"/>
          <w:i/>
          <w:u w:val="single"/>
        </w:rPr>
        <w:t>Substanciar los procedimientos administrativos</w:t>
      </w:r>
      <w:r w:rsidRPr="00B50274">
        <w:rPr>
          <w:rFonts w:ascii="Palatino Linotype" w:hAnsi="Palatino Linotype" w:cs="Arial"/>
          <w:i/>
        </w:rPr>
        <w:t xml:space="preserve"> de investigación, así como elaborar y formalizar las resoluciones que contendrán la determinación y </w:t>
      </w:r>
      <w:proofErr w:type="spellStart"/>
      <w:r w:rsidRPr="00B50274">
        <w:rPr>
          <w:rFonts w:ascii="Palatino Linotype" w:hAnsi="Palatino Linotype" w:cs="Arial"/>
          <w:i/>
        </w:rPr>
        <w:t>fincamiento</w:t>
      </w:r>
      <w:proofErr w:type="spellEnd"/>
      <w:r w:rsidRPr="00B50274">
        <w:rPr>
          <w:rFonts w:ascii="Palatino Linotype" w:hAnsi="Palatino Linotype" w:cs="Arial"/>
          <w:i/>
        </w:rPr>
        <w:t xml:space="preserve"> de las responsabilidades y aplicación de las sanciones que correspondan a los servidores públicos del Órgano Superior;</w:t>
      </w:r>
      <w:r w:rsidRPr="00B50274">
        <w:rPr>
          <w:rFonts w:ascii="Palatino Linotype" w:hAnsi="Palatino Linotype" w:cs="Arial"/>
          <w:i/>
        </w:rPr>
        <w:cr/>
        <w:t>…”</w:t>
      </w:r>
    </w:p>
    <w:p w:rsidR="00FA6BB3" w:rsidRPr="00B50274" w:rsidRDefault="00FA6BB3" w:rsidP="00FA6BB3">
      <w:pPr>
        <w:ind w:left="851" w:right="901"/>
        <w:jc w:val="both"/>
        <w:rPr>
          <w:rFonts w:ascii="Palatino Linotype" w:eastAsia="Times New Roman" w:hAnsi="Palatino Linotype" w:cs="Arial"/>
          <w:sz w:val="24"/>
          <w:lang w:val="es-ES"/>
        </w:rPr>
      </w:pPr>
      <w:r w:rsidRPr="00B50274">
        <w:rPr>
          <w:rFonts w:ascii="Palatino Linotype" w:hAnsi="Palatino Linotype" w:cs="Arial"/>
          <w:i/>
        </w:rPr>
        <w:t>(Énfasis añadido)</w:t>
      </w:r>
    </w:p>
    <w:p w:rsidR="00FA6BB3" w:rsidRPr="00B50274" w:rsidRDefault="00FA6BB3" w:rsidP="00FA6BB3">
      <w:pPr>
        <w:pStyle w:val="Prrafodelista"/>
        <w:spacing w:after="0" w:line="360" w:lineRule="auto"/>
        <w:ind w:left="360"/>
        <w:jc w:val="both"/>
        <w:rPr>
          <w:rFonts w:ascii="Palatino Linotype" w:eastAsia="Times New Roman" w:hAnsi="Palatino Linotype" w:cs="Arial"/>
          <w:sz w:val="24"/>
          <w:lang w:val="es-ES"/>
        </w:rPr>
      </w:pPr>
    </w:p>
    <w:p w:rsidR="00BB56DE" w:rsidRPr="00B50274" w:rsidRDefault="008540E3" w:rsidP="00FA6BB3">
      <w:pPr>
        <w:pStyle w:val="Prrafodelista"/>
        <w:numPr>
          <w:ilvl w:val="0"/>
          <w:numId w:val="2"/>
        </w:numPr>
        <w:spacing w:after="0" w:line="360" w:lineRule="auto"/>
        <w:jc w:val="both"/>
        <w:rPr>
          <w:rFonts w:ascii="Palatino Linotype" w:eastAsia="Times New Roman" w:hAnsi="Palatino Linotype" w:cs="Arial"/>
          <w:sz w:val="24"/>
          <w:lang w:val="es-ES"/>
        </w:rPr>
      </w:pPr>
      <w:r w:rsidRPr="00B50274">
        <w:rPr>
          <w:rFonts w:ascii="Palatino Linotype" w:eastAsia="Times New Roman" w:hAnsi="Palatino Linotype" w:cs="Arial"/>
          <w:sz w:val="24"/>
          <w:lang w:val="es-ES"/>
        </w:rPr>
        <w:t>Adicionalmente</w:t>
      </w:r>
      <w:r w:rsidR="005313A6" w:rsidRPr="00B50274">
        <w:rPr>
          <w:rFonts w:ascii="Palatino Linotype" w:eastAsia="Times New Roman" w:hAnsi="Palatino Linotype" w:cs="Arial"/>
          <w:sz w:val="24"/>
          <w:lang w:val="es-ES"/>
        </w:rPr>
        <w:t>, la citada Ley de Fiscalización Superior establece que del procedimiento de responsabilidad administrativa tiene por objeto resarcir el monto de los daños y perjuicios estimables en dinero que se hayan causado a la Hacienda Pública o, en su caso, al patrimonio de las entidades fiscalizables</w:t>
      </w:r>
      <w:r w:rsidRPr="00B50274">
        <w:rPr>
          <w:rFonts w:ascii="Palatino Linotype" w:eastAsia="Times New Roman" w:hAnsi="Palatino Linotype" w:cs="Arial"/>
          <w:sz w:val="24"/>
          <w:lang w:val="es-ES"/>
        </w:rPr>
        <w:t>; asimismo establece que incurren en responsabilidad resarcitoria los servidores públicos de la entidad fiscalizable o quienes hayan dejado de serlo o las personas físicas o jurídicas colectivas que reciban, administren o manejen recursos del erario y quienes no manejen recursos cuyos actos u omisiones causen daño y/o perjuicio a las haciendas públicas o al patrimonio de las demás entidades fiscalizables, los cuales serán fijados en cantidad líquida.</w:t>
      </w:r>
    </w:p>
    <w:p w:rsidR="00CB0D5A" w:rsidRPr="00B50274" w:rsidRDefault="00CB0D5A" w:rsidP="00CB0D5A">
      <w:pPr>
        <w:pStyle w:val="Prrafodelista"/>
        <w:spacing w:after="0" w:line="360" w:lineRule="auto"/>
        <w:ind w:left="360"/>
        <w:jc w:val="both"/>
        <w:rPr>
          <w:rFonts w:ascii="Palatino Linotype" w:eastAsia="Times New Roman" w:hAnsi="Palatino Linotype" w:cs="Arial"/>
          <w:sz w:val="24"/>
          <w:lang w:val="es-ES"/>
        </w:rPr>
      </w:pPr>
    </w:p>
    <w:p w:rsidR="00CB0D5A" w:rsidRPr="00B50274" w:rsidRDefault="00CB0D5A" w:rsidP="00CB0D5A">
      <w:pPr>
        <w:pStyle w:val="Prrafodelista"/>
        <w:numPr>
          <w:ilvl w:val="0"/>
          <w:numId w:val="2"/>
        </w:numPr>
        <w:spacing w:after="0" w:line="360" w:lineRule="auto"/>
        <w:jc w:val="both"/>
        <w:rPr>
          <w:rFonts w:ascii="Palatino Linotype" w:eastAsia="Times New Roman" w:hAnsi="Palatino Linotype" w:cs="Arial"/>
          <w:sz w:val="24"/>
          <w:lang w:val="es-ES"/>
        </w:rPr>
      </w:pPr>
      <w:r w:rsidRPr="00B50274">
        <w:rPr>
          <w:rFonts w:ascii="Palatino Linotype" w:eastAsia="Times New Roman" w:hAnsi="Palatino Linotype" w:cs="Arial"/>
          <w:sz w:val="24"/>
          <w:lang w:val="es-ES"/>
        </w:rPr>
        <w:t>En ese orden de ideas, Ley de Responsabilidades Administrativas del Estado de México y Municipios en su artículo 7 fracción II establece que todo servidor público sin perjuicio de sus derechos y obligaciones laborales deberá observar en el desempeño de su empleo, cargo o comisión, los principios de disciplina, legalidad, objetividad, profesionalismo, honradez, lealtad, imparcialidad, integridad, rendición de cuentas, eficacia y eficiencia que rigen el servicio público; para lo cual deberá de conducirse con rectitud sin utilizar su empleo, cargo o comisión para obtener o pretender obtener algún beneficio, provecho o ventaja personal o a favor de terceros, ni buscar o aceptar compensaciones, prestaciones, dádivas, obsequios o regalos de cualquier persona u organización.</w:t>
      </w:r>
      <w:r w:rsidRPr="00B50274">
        <w:rPr>
          <w:rFonts w:ascii="Bookman Old Style" w:hAnsi="Bookman Old Style" w:cs="Bookman Old Style"/>
          <w:color w:val="000000"/>
          <w:sz w:val="20"/>
          <w:szCs w:val="20"/>
        </w:rPr>
        <w:t xml:space="preserve"> </w:t>
      </w:r>
    </w:p>
    <w:p w:rsidR="00CB0D5A" w:rsidRPr="00B50274" w:rsidRDefault="00CB0D5A" w:rsidP="00CB0D5A">
      <w:pPr>
        <w:pStyle w:val="Prrafodelista"/>
        <w:rPr>
          <w:rFonts w:ascii="Palatino Linotype" w:eastAsia="Times New Roman" w:hAnsi="Palatino Linotype" w:cs="Arial"/>
          <w:sz w:val="24"/>
          <w:lang w:val="es-ES"/>
        </w:rPr>
      </w:pPr>
    </w:p>
    <w:p w:rsidR="00FA6BB3" w:rsidRPr="00B50274" w:rsidRDefault="00CB0D5A" w:rsidP="00A45275">
      <w:pPr>
        <w:pStyle w:val="Prrafodelista"/>
        <w:numPr>
          <w:ilvl w:val="0"/>
          <w:numId w:val="2"/>
        </w:numPr>
        <w:spacing w:after="0" w:line="360" w:lineRule="auto"/>
        <w:jc w:val="both"/>
        <w:rPr>
          <w:rFonts w:ascii="Palatino Linotype" w:eastAsia="Times New Roman" w:hAnsi="Palatino Linotype" w:cs="Arial"/>
          <w:sz w:val="24"/>
          <w:lang w:val="es-ES"/>
        </w:rPr>
      </w:pPr>
      <w:r w:rsidRPr="00B50274">
        <w:rPr>
          <w:rFonts w:ascii="Palatino Linotype" w:eastAsia="Times New Roman" w:hAnsi="Palatino Linotype" w:cs="Arial"/>
          <w:sz w:val="24"/>
          <w:lang w:val="es-ES"/>
        </w:rPr>
        <w:t xml:space="preserve"> </w:t>
      </w:r>
      <w:r w:rsidR="005F657A" w:rsidRPr="00B50274">
        <w:rPr>
          <w:rFonts w:ascii="Palatino Linotype" w:eastAsia="Times New Roman" w:hAnsi="Palatino Linotype" w:cs="Arial"/>
          <w:sz w:val="24"/>
          <w:lang w:val="es-ES"/>
        </w:rPr>
        <w:t xml:space="preserve">Derivado de lo </w:t>
      </w:r>
      <w:r w:rsidR="00FA6BB3" w:rsidRPr="00B50274">
        <w:rPr>
          <w:rFonts w:ascii="Palatino Linotype" w:eastAsia="Times New Roman" w:hAnsi="Palatino Linotype" w:cs="Arial"/>
          <w:sz w:val="24"/>
          <w:lang w:val="es-ES"/>
        </w:rPr>
        <w:t xml:space="preserve">anterior se aprecia que el Sujeto Obligado puede contar con la información, además, como ya se ha señalado los Sujetos Obligados cuenta con </w:t>
      </w:r>
      <w:r w:rsidR="00FA6BB3" w:rsidRPr="00B50274">
        <w:rPr>
          <w:rFonts w:ascii="Palatino Linotype" w:eastAsia="Times New Roman" w:hAnsi="Palatino Linotype" w:cs="Arial"/>
          <w:sz w:val="24"/>
          <w:lang w:val="es-ES"/>
        </w:rPr>
        <w:lastRenderedPageBreak/>
        <w:t>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sus archivos documentales.</w:t>
      </w:r>
    </w:p>
    <w:p w:rsidR="00FA6BB3" w:rsidRPr="00B50274" w:rsidRDefault="00FA6BB3" w:rsidP="00FA6BB3">
      <w:pPr>
        <w:spacing w:after="0" w:line="360" w:lineRule="auto"/>
        <w:jc w:val="both"/>
        <w:rPr>
          <w:rFonts w:ascii="Palatino Linotype" w:eastAsia="Times New Roman" w:hAnsi="Palatino Linotype" w:cs="Arial"/>
          <w:sz w:val="24"/>
          <w:lang w:val="es-ES"/>
        </w:rPr>
      </w:pPr>
    </w:p>
    <w:p w:rsidR="00F33303" w:rsidRPr="00B50274" w:rsidRDefault="003D02D4" w:rsidP="00FA6BB3">
      <w:pPr>
        <w:pStyle w:val="Prrafodelista"/>
        <w:numPr>
          <w:ilvl w:val="0"/>
          <w:numId w:val="2"/>
        </w:numPr>
        <w:spacing w:after="0" w:line="360" w:lineRule="auto"/>
        <w:jc w:val="both"/>
        <w:rPr>
          <w:rFonts w:ascii="Palatino Linotype" w:eastAsia="Times New Roman" w:hAnsi="Palatino Linotype" w:cs="Arial"/>
          <w:sz w:val="24"/>
          <w:lang w:val="es-ES"/>
        </w:rPr>
      </w:pPr>
      <w:r w:rsidRPr="00B50274">
        <w:rPr>
          <w:rFonts w:ascii="Palatino Linotype" w:eastAsia="Times New Roman" w:hAnsi="Palatino Linotype" w:cs="Arial"/>
          <w:sz w:val="24"/>
          <w:lang w:val="es-ES"/>
        </w:rPr>
        <w:t xml:space="preserve"> </w:t>
      </w:r>
      <w:r w:rsidR="00FA6BB3" w:rsidRPr="00B50274">
        <w:rPr>
          <w:rFonts w:ascii="Palatino Linotype" w:eastAsia="Times New Roman" w:hAnsi="Palatino Linotype" w:cs="Arial"/>
          <w:sz w:val="24"/>
          <w:lang w:val="es-ES"/>
        </w:rPr>
        <w:t xml:space="preserve">Por consecuencia, es dable ordenar </w:t>
      </w:r>
      <w:r w:rsidR="00EA6E86" w:rsidRPr="00B50274">
        <w:rPr>
          <w:rFonts w:ascii="Palatino Linotype" w:eastAsia="Times New Roman" w:hAnsi="Palatino Linotype" w:cs="Arial"/>
          <w:sz w:val="24"/>
          <w:lang w:val="es-ES"/>
        </w:rPr>
        <w:t xml:space="preserve">la información </w:t>
      </w:r>
      <w:r w:rsidR="00FA6BB3" w:rsidRPr="00B50274">
        <w:rPr>
          <w:rFonts w:ascii="Palatino Linotype" w:eastAsia="Times New Roman" w:hAnsi="Palatino Linotype" w:cs="Arial"/>
          <w:sz w:val="24"/>
          <w:lang w:val="es-ES"/>
        </w:rPr>
        <w:t>donde conste o se aprecien los documentos que el Órgano Superior d</w:t>
      </w:r>
      <w:r w:rsidR="00EA6E86" w:rsidRPr="00B50274">
        <w:rPr>
          <w:rFonts w:ascii="Palatino Linotype" w:eastAsia="Times New Roman" w:hAnsi="Palatino Linotype" w:cs="Arial"/>
          <w:sz w:val="24"/>
          <w:lang w:val="es-ES"/>
        </w:rPr>
        <w:t>e Fiscalización del Estado de México</w:t>
      </w:r>
      <w:r w:rsidR="00FA6BB3" w:rsidRPr="00B50274">
        <w:rPr>
          <w:rFonts w:ascii="Palatino Linotype" w:eastAsia="Times New Roman" w:hAnsi="Palatino Linotype" w:cs="Arial"/>
          <w:sz w:val="24"/>
          <w:lang w:val="es-ES"/>
        </w:rPr>
        <w:t xml:space="preserve"> (OSFEM) solicitó al Municipio de </w:t>
      </w:r>
      <w:proofErr w:type="spellStart"/>
      <w:r w:rsidR="00FA6BB3" w:rsidRPr="00B50274">
        <w:rPr>
          <w:rFonts w:ascii="Palatino Linotype" w:eastAsia="Times New Roman" w:hAnsi="Palatino Linotype" w:cs="Arial"/>
          <w:sz w:val="24"/>
          <w:lang w:val="es-ES"/>
        </w:rPr>
        <w:t>Xonacatlán</w:t>
      </w:r>
      <w:proofErr w:type="spellEnd"/>
      <w:r w:rsidR="00FA6BB3" w:rsidRPr="00B50274">
        <w:rPr>
          <w:rFonts w:ascii="Palatino Linotype" w:eastAsia="Times New Roman" w:hAnsi="Palatino Linotype" w:cs="Arial"/>
          <w:sz w:val="24"/>
          <w:lang w:val="es-ES"/>
        </w:rPr>
        <w:t xml:space="preserve"> por concepto de requerimiento y pago de la responsabilidad administrativa resarcitoria determinada en el expediente OSFEM/UAJ/PAR-IM/294/13, en versión pública en térm</w:t>
      </w:r>
      <w:r w:rsidR="00F33303" w:rsidRPr="00B50274">
        <w:rPr>
          <w:rFonts w:ascii="Palatino Linotype" w:eastAsia="Times New Roman" w:hAnsi="Palatino Linotype" w:cs="Arial"/>
          <w:sz w:val="24"/>
          <w:lang w:val="es-ES"/>
        </w:rPr>
        <w:t>inos el considerando Quinto.</w:t>
      </w:r>
    </w:p>
    <w:p w:rsidR="00F33303" w:rsidRPr="00B50274" w:rsidRDefault="00F33303" w:rsidP="00F33303">
      <w:pPr>
        <w:pStyle w:val="Prrafodelista"/>
        <w:rPr>
          <w:rFonts w:ascii="Palatino Linotype" w:eastAsia="Times New Roman" w:hAnsi="Palatino Linotype" w:cs="Arial"/>
          <w:sz w:val="24"/>
          <w:lang w:val="es-ES"/>
        </w:rPr>
      </w:pPr>
    </w:p>
    <w:p w:rsidR="00F33303" w:rsidRPr="00B50274" w:rsidRDefault="00F33303" w:rsidP="00FA6BB3">
      <w:pPr>
        <w:pStyle w:val="Prrafodelista"/>
        <w:numPr>
          <w:ilvl w:val="0"/>
          <w:numId w:val="2"/>
        </w:numPr>
        <w:spacing w:after="0" w:line="360" w:lineRule="auto"/>
        <w:jc w:val="both"/>
        <w:rPr>
          <w:rFonts w:ascii="Palatino Linotype" w:eastAsia="Times New Roman" w:hAnsi="Palatino Linotype" w:cs="Arial"/>
          <w:sz w:val="24"/>
          <w:lang w:val="es-ES"/>
        </w:rPr>
      </w:pPr>
      <w:r w:rsidRPr="00B50274">
        <w:rPr>
          <w:rFonts w:ascii="Palatino Linotype" w:eastAsia="Times New Roman" w:hAnsi="Palatino Linotype" w:cs="Arial"/>
          <w:sz w:val="24"/>
          <w:lang w:val="es-ES"/>
        </w:rPr>
        <w:t>S</w:t>
      </w:r>
      <w:r w:rsidR="00FA6BB3" w:rsidRPr="00B50274">
        <w:rPr>
          <w:rFonts w:ascii="Palatino Linotype" w:eastAsia="Times New Roman" w:hAnsi="Palatino Linotype" w:cs="Arial"/>
          <w:sz w:val="24"/>
          <w:lang w:val="es-ES"/>
        </w:rPr>
        <w:t xml:space="preserve">in embargo, para el caso de que el Sujeto Obligado no posea la información ordenada, deberá de </w:t>
      </w:r>
      <w:r w:rsidRPr="00B50274">
        <w:rPr>
          <w:rFonts w:ascii="Palatino Linotype" w:eastAsia="Times New Roman" w:hAnsi="Palatino Linotype" w:cs="Arial"/>
          <w:sz w:val="24"/>
          <w:lang w:val="es-ES"/>
        </w:rPr>
        <w:t xml:space="preserve">remitir </w:t>
      </w:r>
      <w:r w:rsidR="00EA6E86" w:rsidRPr="00B50274">
        <w:rPr>
          <w:rFonts w:ascii="Palatino Linotype" w:eastAsia="Times New Roman" w:hAnsi="Palatino Linotype" w:cs="Arial"/>
          <w:sz w:val="24"/>
          <w:lang w:val="es-ES"/>
        </w:rPr>
        <w:t xml:space="preserve">las documentales en </w:t>
      </w:r>
      <w:r w:rsidRPr="00B50274">
        <w:rPr>
          <w:rFonts w:ascii="Palatino Linotype" w:eastAsia="Times New Roman" w:hAnsi="Palatino Linotype" w:cs="Arial"/>
          <w:sz w:val="24"/>
          <w:lang w:val="es-ES"/>
        </w:rPr>
        <w:t xml:space="preserve">donde </w:t>
      </w:r>
      <w:r w:rsidR="00EA6E86" w:rsidRPr="00B50274">
        <w:rPr>
          <w:rFonts w:ascii="Palatino Linotype" w:eastAsia="Times New Roman" w:hAnsi="Palatino Linotype" w:cs="Arial"/>
          <w:sz w:val="24"/>
          <w:lang w:val="es-ES"/>
        </w:rPr>
        <w:t xml:space="preserve">consten </w:t>
      </w:r>
      <w:r w:rsidRPr="00B50274">
        <w:rPr>
          <w:rFonts w:ascii="Palatino Linotype" w:eastAsia="Times New Roman" w:hAnsi="Palatino Linotype" w:cs="Arial"/>
          <w:sz w:val="24"/>
          <w:lang w:val="es-ES"/>
        </w:rPr>
        <w:t>las acciones realizadas</w:t>
      </w:r>
      <w:r w:rsidR="006A6FE6" w:rsidRPr="00B50274">
        <w:rPr>
          <w:rFonts w:ascii="Palatino Linotype" w:eastAsia="Times New Roman" w:hAnsi="Palatino Linotype" w:cs="Arial"/>
          <w:sz w:val="24"/>
          <w:lang w:val="es-ES"/>
        </w:rPr>
        <w:t xml:space="preserve"> </w:t>
      </w:r>
      <w:r w:rsidRPr="00B50274">
        <w:rPr>
          <w:rFonts w:ascii="Palatino Linotype" w:eastAsia="Times New Roman" w:hAnsi="Palatino Linotype" w:cs="Arial"/>
          <w:sz w:val="24"/>
          <w:lang w:val="es-ES"/>
        </w:rPr>
        <w:t xml:space="preserve">para atender la responsabilidad administrativa resarcitoria estipulada con anterioridad. </w:t>
      </w:r>
    </w:p>
    <w:p w:rsidR="00F33303" w:rsidRPr="00B50274" w:rsidRDefault="00F33303" w:rsidP="00F33303">
      <w:pPr>
        <w:pStyle w:val="Prrafodelista"/>
        <w:rPr>
          <w:rFonts w:ascii="Palatino Linotype" w:eastAsia="Times New Roman" w:hAnsi="Palatino Linotype" w:cs="Arial"/>
          <w:sz w:val="24"/>
          <w:lang w:val="es-ES"/>
        </w:rPr>
      </w:pPr>
    </w:p>
    <w:p w:rsidR="006A6FE6" w:rsidRPr="00B50274" w:rsidRDefault="006A6FE6" w:rsidP="006A6FE6">
      <w:pPr>
        <w:pStyle w:val="Prrafodelista"/>
        <w:numPr>
          <w:ilvl w:val="0"/>
          <w:numId w:val="2"/>
        </w:numPr>
        <w:spacing w:after="0" w:line="360" w:lineRule="auto"/>
        <w:jc w:val="both"/>
        <w:rPr>
          <w:rFonts w:ascii="Palatino Linotype" w:eastAsia="Times New Roman" w:hAnsi="Palatino Linotype" w:cs="Arial"/>
          <w:sz w:val="24"/>
          <w:lang w:val="es-ES"/>
        </w:rPr>
      </w:pPr>
      <w:r w:rsidRPr="00B50274">
        <w:rPr>
          <w:rFonts w:ascii="Palatino Linotype" w:eastAsia="Times New Roman" w:hAnsi="Palatino Linotype" w:cs="Arial"/>
          <w:sz w:val="24"/>
          <w:lang w:val="es-ES"/>
        </w:rPr>
        <w:t xml:space="preserve">No obstante lo anterior, para el caso de que no se cuente con la información ordenada y no se tenga el soporte documental de las acciones realizadas para su cumplimiento y, en virtud de que el Sujeto Obligado cuenta con facultades, competencia y atribuciones para poseerla, generarla y administrarla; se deberá de generar el respectivo acuerdo de inexistencia, dando cumplimiento a cada </w:t>
      </w:r>
      <w:r w:rsidRPr="00B50274">
        <w:rPr>
          <w:rFonts w:ascii="Palatino Linotype" w:eastAsia="Times New Roman" w:hAnsi="Palatino Linotype" w:cs="Arial"/>
          <w:sz w:val="24"/>
          <w:lang w:val="es-ES"/>
        </w:rPr>
        <w:lastRenderedPageBreak/>
        <w:t>una de las formalidades que la norma jurídica establece en términos del Considerando Sexto</w:t>
      </w:r>
      <w:r w:rsidR="00A45275" w:rsidRPr="00B50274">
        <w:rPr>
          <w:rFonts w:ascii="Palatino Linotype" w:eastAsia="Times New Roman" w:hAnsi="Palatino Linotype" w:cs="Arial"/>
          <w:sz w:val="24"/>
          <w:lang w:val="es-ES"/>
        </w:rPr>
        <w:t>.</w:t>
      </w:r>
    </w:p>
    <w:p w:rsidR="00FA6BB3" w:rsidRPr="00B50274" w:rsidRDefault="00FA6BB3" w:rsidP="00A45275">
      <w:pPr>
        <w:pStyle w:val="Prrafodelista"/>
        <w:spacing w:after="0" w:line="240" w:lineRule="auto"/>
        <w:rPr>
          <w:rFonts w:ascii="Palatino Linotype" w:eastAsia="Times New Roman" w:hAnsi="Palatino Linotype" w:cs="Arial"/>
          <w:sz w:val="24"/>
          <w:lang w:val="es-ES"/>
        </w:rPr>
      </w:pPr>
    </w:p>
    <w:p w:rsidR="00A45275" w:rsidRPr="00B50274" w:rsidRDefault="003D02D4" w:rsidP="00505804">
      <w:pPr>
        <w:keepNext/>
        <w:keepLines/>
        <w:spacing w:before="240" w:after="0"/>
        <w:outlineLvl w:val="0"/>
        <w:rPr>
          <w:rFonts w:ascii="Palatino Linotype" w:hAnsi="Palatino Linotype"/>
          <w:b/>
          <w:sz w:val="24"/>
          <w:szCs w:val="24"/>
        </w:rPr>
      </w:pPr>
      <w:bookmarkStart w:id="12" w:name="_Toc506483765"/>
      <w:bookmarkStart w:id="13" w:name="_Toc511303340"/>
      <w:bookmarkStart w:id="14" w:name="_Toc519166206"/>
      <w:bookmarkStart w:id="15" w:name="_Toc521603650"/>
      <w:r w:rsidRPr="00B50274">
        <w:rPr>
          <w:rFonts w:ascii="Palatino Linotype" w:eastAsia="MS Mincho" w:hAnsi="Palatino Linotype" w:cstheme="majorBidi"/>
          <w:b/>
          <w:sz w:val="24"/>
          <w:szCs w:val="24"/>
          <w:lang w:val="es-ES_tradnl" w:eastAsia="es-ES"/>
        </w:rPr>
        <w:t>QUINTO</w:t>
      </w:r>
      <w:r w:rsidRPr="00B50274">
        <w:rPr>
          <w:rFonts w:ascii="Palatino Linotype" w:hAnsi="Palatino Linotype"/>
          <w:b/>
          <w:sz w:val="24"/>
          <w:szCs w:val="24"/>
        </w:rPr>
        <w:t>. De la versión pública.</w:t>
      </w:r>
      <w:bookmarkEnd w:id="12"/>
      <w:bookmarkEnd w:id="13"/>
      <w:bookmarkEnd w:id="14"/>
      <w:bookmarkEnd w:id="15"/>
    </w:p>
    <w:p w:rsidR="00A45275" w:rsidRPr="00B50274" w:rsidRDefault="00A45275" w:rsidP="00A45275">
      <w:pPr>
        <w:spacing w:after="0"/>
      </w:pPr>
    </w:p>
    <w:p w:rsidR="003D02D4" w:rsidRPr="00B50274" w:rsidRDefault="003D02D4" w:rsidP="003D02D4">
      <w:pPr>
        <w:pStyle w:val="Prrafodelista"/>
        <w:numPr>
          <w:ilvl w:val="0"/>
          <w:numId w:val="2"/>
        </w:numPr>
        <w:spacing w:after="120" w:line="360" w:lineRule="auto"/>
        <w:ind w:left="426" w:right="49"/>
        <w:jc w:val="both"/>
        <w:rPr>
          <w:rFonts w:ascii="Palatino Linotype" w:hAnsi="Palatino Linotype" w:cs="Arial"/>
          <w:color w:val="000000" w:themeColor="text1"/>
          <w:sz w:val="24"/>
        </w:rPr>
      </w:pPr>
      <w:r w:rsidRPr="00B50274">
        <w:rPr>
          <w:rFonts w:ascii="Palatino Linotype" w:hAnsi="Palatino Linotype" w:cs="Arial"/>
          <w:color w:val="000000" w:themeColor="text1"/>
          <w:sz w:val="24"/>
        </w:rPr>
        <w:t xml:space="preserve">Por otro lado, debe destacarse que debido a la naturaleza de la información solicitada, esto es, de la información respecto del documento donde conste o se aprecie </w:t>
      </w:r>
      <w:r w:rsidR="00914C75" w:rsidRPr="00B50274">
        <w:rPr>
          <w:rFonts w:ascii="Palatino Linotype" w:hAnsi="Palatino Linotype" w:cs="Arial"/>
          <w:color w:val="000000" w:themeColor="text1"/>
          <w:sz w:val="24"/>
        </w:rPr>
        <w:t xml:space="preserve">el expediente, resoluciones, requerimientos,  pagos </w:t>
      </w:r>
      <w:r w:rsidRPr="00B50274">
        <w:rPr>
          <w:rFonts w:ascii="Palatino Linotype" w:hAnsi="Palatino Linotype" w:cs="Arial"/>
          <w:color w:val="000000" w:themeColor="text1"/>
          <w:sz w:val="24"/>
        </w:rPr>
        <w:t xml:space="preserve">o en documentos análogos, 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B50274">
        <w:rPr>
          <w:rFonts w:ascii="Palatino Linotype" w:hAnsi="Palatino Linotype" w:cs="Arial"/>
          <w:b/>
          <w:color w:val="000000" w:themeColor="text1"/>
          <w:sz w:val="24"/>
          <w:u w:val="single"/>
        </w:rPr>
        <w:t>versión pública</w:t>
      </w:r>
      <w:r w:rsidRPr="00B50274">
        <w:rPr>
          <w:rFonts w:ascii="Palatino Linotype" w:hAnsi="Palatino Linotype" w:cs="Arial"/>
          <w:color w:val="000000" w:themeColor="text1"/>
          <w:sz w:val="24"/>
        </w:rPr>
        <w:t xml:space="preserve"> del documento por las consideraciones que se estimen pertinentes.</w:t>
      </w:r>
    </w:p>
    <w:p w:rsidR="003D02D4" w:rsidRPr="00B50274" w:rsidRDefault="003D02D4" w:rsidP="003D02D4">
      <w:pPr>
        <w:pStyle w:val="Prrafodelista"/>
        <w:spacing w:after="120" w:line="360" w:lineRule="auto"/>
        <w:ind w:left="426" w:right="49"/>
        <w:jc w:val="both"/>
        <w:rPr>
          <w:rFonts w:ascii="Palatino Linotype" w:hAnsi="Palatino Linotype" w:cs="Arial"/>
          <w:color w:val="000000" w:themeColor="text1"/>
        </w:rPr>
      </w:pPr>
    </w:p>
    <w:p w:rsidR="003D02D4" w:rsidRPr="00B50274" w:rsidRDefault="003D02D4" w:rsidP="003D02D4">
      <w:pPr>
        <w:pStyle w:val="Prrafodelista"/>
        <w:numPr>
          <w:ilvl w:val="0"/>
          <w:numId w:val="2"/>
        </w:numPr>
        <w:spacing w:after="120" w:line="360" w:lineRule="auto"/>
        <w:ind w:left="426" w:right="49"/>
        <w:jc w:val="both"/>
        <w:rPr>
          <w:rFonts w:ascii="Palatino Linotype" w:hAnsi="Palatino Linotype" w:cs="Arial"/>
          <w:color w:val="000000" w:themeColor="text1"/>
          <w:sz w:val="24"/>
        </w:rPr>
      </w:pPr>
      <w:r w:rsidRPr="00B50274">
        <w:rPr>
          <w:rFonts w:ascii="Palatino Linotype" w:hAnsi="Palatino Linotype" w:cs="Arial"/>
          <w:color w:val="000000" w:themeColor="text1"/>
          <w:sz w:val="24"/>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B50274">
        <w:rPr>
          <w:vertAlign w:val="superscript"/>
        </w:rPr>
        <w:footnoteReference w:id="2"/>
      </w:r>
      <w:r w:rsidRPr="00B50274">
        <w:rPr>
          <w:rFonts w:ascii="Palatino Linotype" w:hAnsi="Palatino Linotype" w:cs="Arial"/>
          <w:color w:val="000000" w:themeColor="text1"/>
        </w:rPr>
        <w:t xml:space="preserve"> </w:t>
      </w:r>
      <w:r w:rsidRPr="00B50274">
        <w:rPr>
          <w:rFonts w:ascii="Palatino Linotype" w:hAnsi="Palatino Linotype" w:cs="Arial"/>
          <w:color w:val="000000" w:themeColor="text1"/>
          <w:sz w:val="24"/>
        </w:rPr>
        <w:t xml:space="preserve">aunque cualquier límite </w:t>
      </w:r>
      <w:r w:rsidRPr="00B50274">
        <w:rPr>
          <w:rFonts w:ascii="Palatino Linotype" w:hAnsi="Palatino Linotype" w:cs="Arial"/>
          <w:color w:val="000000" w:themeColor="text1"/>
          <w:sz w:val="24"/>
        </w:rPr>
        <w:lastRenderedPageBreak/>
        <w:t>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B50274">
        <w:rPr>
          <w:sz w:val="24"/>
          <w:vertAlign w:val="superscript"/>
        </w:rPr>
        <w:footnoteReference w:id="3"/>
      </w:r>
      <w:r w:rsidRPr="00B50274">
        <w:rPr>
          <w:rFonts w:ascii="Palatino Linotype" w:hAnsi="Palatino Linotype" w:cs="Arial"/>
          <w:color w:val="000000" w:themeColor="text1"/>
          <w:sz w:val="24"/>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3D02D4" w:rsidRPr="00B50274" w:rsidRDefault="003D02D4" w:rsidP="003D02D4">
      <w:pPr>
        <w:pStyle w:val="Prrafodelista"/>
        <w:rPr>
          <w:rFonts w:ascii="Palatino Linotype" w:hAnsi="Palatino Linotype" w:cs="Arial"/>
          <w:color w:val="000000" w:themeColor="text1"/>
        </w:rPr>
      </w:pPr>
    </w:p>
    <w:p w:rsidR="003D02D4" w:rsidRPr="00B50274" w:rsidRDefault="003D02D4" w:rsidP="003D02D4">
      <w:pPr>
        <w:pStyle w:val="Prrafodelista"/>
        <w:numPr>
          <w:ilvl w:val="0"/>
          <w:numId w:val="2"/>
        </w:numPr>
        <w:spacing w:after="120" w:line="360" w:lineRule="auto"/>
        <w:ind w:left="426" w:right="49"/>
        <w:jc w:val="both"/>
        <w:rPr>
          <w:rFonts w:ascii="Palatino Linotype" w:hAnsi="Palatino Linotype" w:cs="Arial"/>
          <w:color w:val="000000" w:themeColor="text1"/>
          <w:sz w:val="24"/>
        </w:rPr>
      </w:pPr>
      <w:r w:rsidRPr="00B50274">
        <w:rPr>
          <w:rFonts w:ascii="Palatino Linotype" w:hAnsi="Palatino Linotype" w:cs="Arial"/>
          <w:color w:val="000000" w:themeColor="text1"/>
          <w:sz w:val="24"/>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rsidR="003D02D4" w:rsidRPr="00B50274" w:rsidRDefault="003D02D4" w:rsidP="003D02D4">
      <w:pPr>
        <w:spacing w:after="120" w:line="360" w:lineRule="auto"/>
        <w:ind w:left="426" w:right="49"/>
        <w:contextualSpacing/>
        <w:jc w:val="both"/>
        <w:rPr>
          <w:rFonts w:ascii="Palatino Linotype" w:hAnsi="Palatino Linotype" w:cs="Arial"/>
          <w:b/>
          <w:color w:val="000000" w:themeColor="text1"/>
        </w:rPr>
      </w:pPr>
    </w:p>
    <w:p w:rsidR="003D02D4" w:rsidRPr="00B50274" w:rsidRDefault="003D02D4" w:rsidP="003D02D4">
      <w:pPr>
        <w:spacing w:after="120" w:line="360" w:lineRule="auto"/>
        <w:ind w:left="426" w:right="49"/>
        <w:contextualSpacing/>
        <w:jc w:val="both"/>
        <w:rPr>
          <w:rFonts w:ascii="Palatino Linotype" w:hAnsi="Palatino Linotype" w:cs="Arial"/>
          <w:b/>
          <w:color w:val="000000" w:themeColor="text1"/>
          <w:sz w:val="24"/>
        </w:rPr>
      </w:pPr>
      <w:r w:rsidRPr="00B50274">
        <w:rPr>
          <w:rFonts w:ascii="Palatino Linotype" w:hAnsi="Palatino Linotype" w:cs="Arial"/>
          <w:b/>
          <w:color w:val="000000" w:themeColor="text1"/>
          <w:sz w:val="24"/>
        </w:rPr>
        <w:t>Requisitos previos.</w:t>
      </w:r>
    </w:p>
    <w:p w:rsidR="003D02D4" w:rsidRPr="00B50274" w:rsidRDefault="003D02D4" w:rsidP="003D02D4">
      <w:pPr>
        <w:pStyle w:val="Prrafodelista"/>
        <w:numPr>
          <w:ilvl w:val="0"/>
          <w:numId w:val="2"/>
        </w:numPr>
        <w:spacing w:after="120" w:line="360" w:lineRule="auto"/>
        <w:ind w:left="426" w:right="49" w:hanging="502"/>
        <w:jc w:val="both"/>
        <w:rPr>
          <w:rFonts w:ascii="Palatino Linotype" w:hAnsi="Palatino Linotype" w:cs="Arial"/>
          <w:color w:val="000000"/>
          <w:sz w:val="24"/>
        </w:rPr>
      </w:pPr>
      <w:r w:rsidRPr="00B50274">
        <w:rPr>
          <w:rFonts w:ascii="Palatino Linotype" w:hAnsi="Palatino Linotype" w:cs="Arial"/>
          <w:color w:val="000000"/>
          <w:sz w:val="24"/>
        </w:rPr>
        <w:t xml:space="preserve">Los artículos 122 y 100 de la Ley Estatal y de la Ley General, respectivamente, señalan que los sujetos obligados determinan que la información actualiza </w:t>
      </w:r>
      <w:r w:rsidRPr="00B50274">
        <w:rPr>
          <w:rFonts w:ascii="Palatino Linotype" w:hAnsi="Palatino Linotype" w:cs="Arial"/>
          <w:color w:val="000000"/>
          <w:sz w:val="24"/>
        </w:rPr>
        <w:lastRenderedPageBreak/>
        <w:t>alguno de los supuestos de clasificación y que son los titulares de las áreas los encargados de clasificar la información. En consecuencia, son los titulares de las áreas quienes administran la información y los que PROPONEN su clasificación y no el Comité de Transparencia, toda vez que éste únicamente aprueba, modifica o revoca la propuesta de clasificación.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3D02D4" w:rsidRPr="00B50274" w:rsidRDefault="003D02D4" w:rsidP="003D02D4">
      <w:pPr>
        <w:spacing w:after="120" w:line="360" w:lineRule="auto"/>
        <w:ind w:left="284" w:right="49"/>
        <w:contextualSpacing/>
        <w:jc w:val="both"/>
        <w:rPr>
          <w:rFonts w:ascii="Palatino Linotype" w:hAnsi="Palatino Linotype" w:cs="Arial"/>
          <w:color w:val="000000"/>
        </w:rPr>
      </w:pPr>
    </w:p>
    <w:p w:rsidR="003D02D4" w:rsidRPr="00B50274" w:rsidRDefault="003D02D4" w:rsidP="003D02D4">
      <w:pPr>
        <w:numPr>
          <w:ilvl w:val="0"/>
          <w:numId w:val="2"/>
        </w:numPr>
        <w:spacing w:after="120" w:line="360" w:lineRule="auto"/>
        <w:ind w:left="284" w:right="49" w:hanging="426"/>
        <w:contextualSpacing/>
        <w:jc w:val="both"/>
        <w:rPr>
          <w:rFonts w:ascii="Palatino Linotype" w:hAnsi="Palatino Linotype" w:cs="Arial"/>
          <w:color w:val="000000"/>
          <w:sz w:val="24"/>
        </w:rPr>
      </w:pPr>
      <w:r w:rsidRPr="00B50274">
        <w:rPr>
          <w:rFonts w:ascii="Palatino Linotype" w:hAnsi="Palatino Linotype" w:cs="Arial"/>
          <w:color w:val="000000" w:themeColor="text1"/>
          <w:sz w:val="24"/>
        </w:rPr>
        <w:t xml:space="preserve">Además, se debe señalar el procedimiento, de los tres que establecen los artículos 132 y 106 de la Ley Estatal y General, </w:t>
      </w:r>
      <w:r w:rsidRPr="00B50274">
        <w:rPr>
          <w:rFonts w:ascii="Palatino Linotype" w:hAnsi="Palatino Linotype" w:cs="Arial"/>
          <w:color w:val="000000"/>
          <w:sz w:val="24"/>
        </w:rPr>
        <w:t>respectivamente</w:t>
      </w:r>
      <w:r w:rsidRPr="00B50274">
        <w:rPr>
          <w:rFonts w:ascii="Palatino Linotype" w:hAnsi="Palatino Linotype" w:cs="Arial"/>
          <w:color w:val="000000" w:themeColor="text1"/>
          <w:sz w:val="24"/>
        </w:rPr>
        <w:t>, por el que se realiza dicha clasificación, a saber, cuando se atiende una solicitud de acceso a la información, porque lo determina una autoridad competente o porque se va a generar una versión pública para cumplir con sus obligaciones.</w:t>
      </w:r>
    </w:p>
    <w:p w:rsidR="003D02D4" w:rsidRPr="00B50274" w:rsidRDefault="003D02D4" w:rsidP="003D02D4">
      <w:pPr>
        <w:pStyle w:val="Prrafodelista"/>
        <w:rPr>
          <w:rFonts w:ascii="Palatino Linotype" w:hAnsi="Palatino Linotype" w:cs="Arial"/>
          <w:color w:val="000000" w:themeColor="text1"/>
        </w:rPr>
      </w:pPr>
    </w:p>
    <w:p w:rsidR="003D02D4" w:rsidRPr="00B50274" w:rsidRDefault="003D02D4" w:rsidP="003D02D4">
      <w:pPr>
        <w:numPr>
          <w:ilvl w:val="0"/>
          <w:numId w:val="2"/>
        </w:numPr>
        <w:spacing w:after="120" w:line="360" w:lineRule="auto"/>
        <w:ind w:left="284" w:right="49" w:hanging="426"/>
        <w:contextualSpacing/>
        <w:jc w:val="both"/>
        <w:rPr>
          <w:rFonts w:ascii="Palatino Linotype" w:hAnsi="Palatino Linotype" w:cs="Arial"/>
          <w:color w:val="000000"/>
          <w:sz w:val="24"/>
        </w:rPr>
      </w:pPr>
      <w:r w:rsidRPr="00B50274">
        <w:rPr>
          <w:rFonts w:ascii="Palatino Linotype" w:hAnsi="Palatino Linotype" w:cs="Arial"/>
          <w:color w:val="000000" w:themeColor="text1"/>
          <w:sz w:val="24"/>
        </w:rPr>
        <w:t xml:space="preserve">El último de estos requisitos previos consiste en que no se pueden emitir acuerdos de carácter general ni particular, según lo disponen los artículos 134 y 108 de la Ley Estatal y de la Ley General, respectivamente, esto es, </w:t>
      </w:r>
      <w:r w:rsidRPr="00B50274">
        <w:rPr>
          <w:rFonts w:ascii="Palatino Linotype" w:hAnsi="Palatino Linotype" w:cs="Arial"/>
          <w:b/>
          <w:color w:val="000000" w:themeColor="text1"/>
          <w:sz w:val="24"/>
          <w:u w:val="single"/>
        </w:rPr>
        <w:t xml:space="preserve">no se puede hacer un acuerdo para clasificar de manera general todos los documentos de un expediente o área,  </w:t>
      </w:r>
      <w:r w:rsidRPr="00B50274">
        <w:rPr>
          <w:rFonts w:ascii="Palatino Linotype" w:hAnsi="Palatino Linotype" w:cs="Arial"/>
          <w:color w:val="000000" w:themeColor="text1"/>
          <w:sz w:val="24"/>
        </w:rPr>
        <w:t>sin individualizar su análisis y tampoco se puede hacer un acuerdo por cada dato que se vaya a clasificar dentro de un documento con diez datos, por ejemplo, susceptibles de ser clasificados.</w:t>
      </w:r>
    </w:p>
    <w:p w:rsidR="003D02D4" w:rsidRPr="00B50274" w:rsidRDefault="003D02D4" w:rsidP="003D02D4">
      <w:pPr>
        <w:spacing w:after="120" w:line="360" w:lineRule="auto"/>
        <w:ind w:left="426" w:right="49"/>
        <w:contextualSpacing/>
        <w:jc w:val="both"/>
        <w:rPr>
          <w:rFonts w:ascii="Palatino Linotype" w:hAnsi="Palatino Linotype" w:cs="Arial"/>
          <w:b/>
          <w:color w:val="000000" w:themeColor="text1"/>
        </w:rPr>
      </w:pPr>
    </w:p>
    <w:p w:rsidR="003D02D4" w:rsidRPr="00B50274" w:rsidRDefault="003D02D4" w:rsidP="003D02D4">
      <w:pPr>
        <w:spacing w:after="120" w:line="360" w:lineRule="auto"/>
        <w:ind w:left="426" w:right="49"/>
        <w:contextualSpacing/>
        <w:jc w:val="both"/>
        <w:rPr>
          <w:rFonts w:ascii="Palatino Linotype" w:hAnsi="Palatino Linotype" w:cs="Arial"/>
          <w:b/>
          <w:color w:val="000000" w:themeColor="text1"/>
          <w:sz w:val="24"/>
        </w:rPr>
      </w:pPr>
      <w:r w:rsidRPr="00B50274">
        <w:rPr>
          <w:rFonts w:ascii="Palatino Linotype" w:hAnsi="Palatino Linotype" w:cs="Arial"/>
          <w:b/>
          <w:color w:val="000000" w:themeColor="text1"/>
          <w:sz w:val="24"/>
        </w:rPr>
        <w:lastRenderedPageBreak/>
        <w:t>Supuestos de clasificación</w:t>
      </w:r>
    </w:p>
    <w:p w:rsidR="003D02D4" w:rsidRPr="00B50274" w:rsidRDefault="003D02D4" w:rsidP="003D02D4">
      <w:pPr>
        <w:numPr>
          <w:ilvl w:val="0"/>
          <w:numId w:val="2"/>
        </w:numPr>
        <w:spacing w:after="120" w:line="360" w:lineRule="auto"/>
        <w:ind w:left="426" w:right="49" w:hanging="426"/>
        <w:contextualSpacing/>
        <w:jc w:val="both"/>
        <w:rPr>
          <w:rFonts w:ascii="Palatino Linotype" w:hAnsi="Palatino Linotype" w:cs="Arial"/>
          <w:color w:val="000000" w:themeColor="text1"/>
        </w:rPr>
      </w:pPr>
      <w:r w:rsidRPr="00B50274">
        <w:rPr>
          <w:rFonts w:ascii="Palatino Linotype" w:hAnsi="Palatino Linotype" w:cs="Arial"/>
          <w:color w:val="000000" w:themeColor="text1"/>
          <w:sz w:val="24"/>
        </w:rPr>
        <w:t>Las disposiciones constitucionales y legales en la materia establecen los dos supuestos generales para clasificar la información: por reserva y por confidencialidad</w:t>
      </w:r>
      <w:r w:rsidRPr="00B50274">
        <w:rPr>
          <w:rFonts w:ascii="Palatino Linotype" w:hAnsi="Palatino Linotype" w:cs="Arial"/>
          <w:color w:val="000000" w:themeColor="text1"/>
        </w:rPr>
        <w:t>.</w:t>
      </w:r>
    </w:p>
    <w:p w:rsidR="00914C75" w:rsidRPr="00B50274" w:rsidRDefault="00914C75" w:rsidP="00914C75">
      <w:pPr>
        <w:spacing w:after="120" w:line="360" w:lineRule="auto"/>
        <w:ind w:left="426" w:right="49"/>
        <w:contextualSpacing/>
        <w:jc w:val="both"/>
        <w:rPr>
          <w:rFonts w:ascii="Palatino Linotype" w:hAnsi="Palatino Linotype" w:cs="Arial"/>
          <w:color w:val="000000" w:themeColor="text1"/>
        </w:rPr>
      </w:pPr>
    </w:p>
    <w:p w:rsidR="003D02D4" w:rsidRPr="00B50274" w:rsidRDefault="003D02D4" w:rsidP="003D02D4">
      <w:pPr>
        <w:numPr>
          <w:ilvl w:val="0"/>
          <w:numId w:val="2"/>
        </w:numPr>
        <w:spacing w:after="120" w:line="360" w:lineRule="auto"/>
        <w:ind w:left="426" w:right="49" w:hanging="426"/>
        <w:contextualSpacing/>
        <w:jc w:val="both"/>
        <w:rPr>
          <w:rFonts w:ascii="Palatino Linotype" w:hAnsi="Palatino Linotype" w:cs="Arial"/>
          <w:color w:val="000000" w:themeColor="text1"/>
          <w:sz w:val="24"/>
        </w:rPr>
      </w:pPr>
      <w:r w:rsidRPr="00B50274">
        <w:rPr>
          <w:rFonts w:ascii="Palatino Linotype" w:hAnsi="Palatino Linotype" w:cs="Arial"/>
          <w:color w:val="000000" w:themeColor="text1"/>
          <w:sz w:val="24"/>
        </w:rPr>
        <w:t>Los artículos 143 y 116 de la Ley Estatal y de la Ley General, respectivamente, señalan los supuestos para que la información pueda ser clasificada como confidencial:</w:t>
      </w:r>
    </w:p>
    <w:p w:rsidR="003D02D4" w:rsidRPr="00B50274" w:rsidRDefault="003D02D4" w:rsidP="003D02D4">
      <w:pPr>
        <w:spacing w:after="120" w:line="360" w:lineRule="auto"/>
        <w:ind w:left="993" w:right="474"/>
        <w:contextualSpacing/>
        <w:jc w:val="both"/>
        <w:rPr>
          <w:rFonts w:ascii="Palatino Linotype" w:hAnsi="Palatino Linotype" w:cs="Arial"/>
          <w:i/>
          <w:color w:val="000000" w:themeColor="text1"/>
        </w:rPr>
      </w:pPr>
      <w:r w:rsidRPr="00B50274">
        <w:rPr>
          <w:rFonts w:ascii="Palatino Linotype" w:hAnsi="Palatino Linotype" w:cs="Arial"/>
          <w:bCs/>
          <w:i/>
          <w:color w:val="000000" w:themeColor="text1"/>
        </w:rPr>
        <w:t xml:space="preserve">I. </w:t>
      </w:r>
      <w:r w:rsidRPr="00B50274">
        <w:rPr>
          <w:rFonts w:ascii="Palatino Linotype" w:hAnsi="Palatino Linotype" w:cs="Arial"/>
          <w:i/>
          <w:color w:val="000000" w:themeColor="text1"/>
        </w:rPr>
        <w:t xml:space="preserve">Se refiera a la información privada y los datos personales concernientes a una persona física o jurídica colectiva identificada o identificable; </w:t>
      </w:r>
    </w:p>
    <w:p w:rsidR="003D02D4" w:rsidRPr="00B50274" w:rsidRDefault="003D02D4" w:rsidP="003D02D4">
      <w:pPr>
        <w:spacing w:after="120" w:line="360" w:lineRule="auto"/>
        <w:ind w:left="993" w:right="474"/>
        <w:contextualSpacing/>
        <w:jc w:val="both"/>
        <w:rPr>
          <w:rFonts w:ascii="Palatino Linotype" w:hAnsi="Palatino Linotype" w:cs="Arial"/>
          <w:i/>
          <w:color w:val="000000" w:themeColor="text1"/>
        </w:rPr>
      </w:pPr>
      <w:r w:rsidRPr="00B50274">
        <w:rPr>
          <w:rFonts w:ascii="Palatino Linotype" w:hAnsi="Palatino Linotype" w:cs="Arial"/>
          <w:bCs/>
          <w:i/>
          <w:color w:val="000000" w:themeColor="text1"/>
        </w:rPr>
        <w:t xml:space="preserve">II. </w:t>
      </w:r>
      <w:r w:rsidRPr="00B50274">
        <w:rPr>
          <w:rFonts w:ascii="Palatino Linotype" w:hAnsi="Palatino Linotype" w:cs="Arial"/>
          <w:i/>
          <w:color w:val="000000" w:themeColor="text1"/>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3D02D4" w:rsidRPr="00B50274" w:rsidRDefault="003D02D4" w:rsidP="003D02D4">
      <w:pPr>
        <w:spacing w:after="120" w:line="360" w:lineRule="auto"/>
        <w:ind w:left="993" w:right="474"/>
        <w:contextualSpacing/>
        <w:jc w:val="both"/>
        <w:rPr>
          <w:rFonts w:ascii="Palatino Linotype" w:hAnsi="Palatino Linotype" w:cs="Arial"/>
          <w:i/>
          <w:color w:val="000000" w:themeColor="text1"/>
        </w:rPr>
      </w:pPr>
      <w:r w:rsidRPr="00B50274">
        <w:rPr>
          <w:rFonts w:ascii="Palatino Linotype" w:hAnsi="Palatino Linotype" w:cs="Arial"/>
          <w:bCs/>
          <w:i/>
          <w:color w:val="000000" w:themeColor="text1"/>
        </w:rPr>
        <w:t xml:space="preserve">III. </w:t>
      </w:r>
      <w:r w:rsidRPr="00B50274">
        <w:rPr>
          <w:rFonts w:ascii="Palatino Linotype" w:hAnsi="Palatino Linotype" w:cs="Arial"/>
          <w:i/>
          <w:color w:val="000000" w:themeColor="text1"/>
        </w:rPr>
        <w:t xml:space="preserve">La que presenten los particulares a los sujetos obligados, de conformidad con lo dispuesto por las leyes o los tratados internacionales. </w:t>
      </w:r>
    </w:p>
    <w:p w:rsidR="003D02D4" w:rsidRPr="00B50274" w:rsidRDefault="003D02D4" w:rsidP="003D02D4">
      <w:pPr>
        <w:spacing w:after="120" w:line="360" w:lineRule="auto"/>
        <w:ind w:left="993" w:right="474"/>
        <w:contextualSpacing/>
        <w:jc w:val="both"/>
        <w:rPr>
          <w:rFonts w:ascii="Palatino Linotype" w:hAnsi="Palatino Linotype" w:cs="Arial"/>
          <w:i/>
          <w:color w:val="000000" w:themeColor="text1"/>
        </w:rPr>
      </w:pPr>
      <w:r w:rsidRPr="00B50274">
        <w:rPr>
          <w:rFonts w:ascii="Palatino Linotype" w:hAnsi="Palatino Linotype" w:cs="Arial"/>
          <w:i/>
          <w:color w:val="000000" w:themeColor="text1"/>
        </w:rPr>
        <w:t xml:space="preserve">La información confidencial no estará sujeta a temporalidad alguna y sólo podrán tener acceso a ella los titulares de la misma, sus representantes y los servidores públicos facultados para ello. </w:t>
      </w:r>
    </w:p>
    <w:p w:rsidR="003D02D4" w:rsidRPr="00B50274" w:rsidRDefault="003D02D4" w:rsidP="003D02D4">
      <w:pPr>
        <w:spacing w:after="120" w:line="360" w:lineRule="auto"/>
        <w:ind w:left="993" w:right="474"/>
        <w:contextualSpacing/>
        <w:jc w:val="both"/>
        <w:rPr>
          <w:rFonts w:ascii="Palatino Linotype" w:hAnsi="Palatino Linotype" w:cs="Arial"/>
          <w:i/>
          <w:color w:val="000000" w:themeColor="text1"/>
        </w:rPr>
      </w:pPr>
      <w:r w:rsidRPr="00B50274">
        <w:rPr>
          <w:rFonts w:ascii="Palatino Linotype" w:hAnsi="Palatino Linotype" w:cs="Arial"/>
          <w:i/>
          <w:color w:val="000000" w:themeColor="text1"/>
        </w:rPr>
        <w:t xml:space="preserve">No se considerará confidencial la información que se encuentre en los registros públicos o en fuentes de acceso público, ni tampoco la que sea considerada por la presente ley como inform.3ación pública. </w:t>
      </w:r>
    </w:p>
    <w:p w:rsidR="003D02D4" w:rsidRPr="00B50274" w:rsidRDefault="003D02D4" w:rsidP="003D02D4">
      <w:pPr>
        <w:spacing w:after="120" w:line="360" w:lineRule="auto"/>
        <w:ind w:left="426" w:right="49"/>
        <w:contextualSpacing/>
        <w:jc w:val="both"/>
        <w:rPr>
          <w:rFonts w:ascii="Palatino Linotype" w:hAnsi="Palatino Linotype" w:cs="Arial"/>
          <w:i/>
          <w:color w:val="000000" w:themeColor="text1"/>
        </w:rPr>
      </w:pPr>
    </w:p>
    <w:p w:rsidR="003D02D4" w:rsidRPr="00B50274" w:rsidRDefault="003D02D4" w:rsidP="003D02D4">
      <w:pPr>
        <w:numPr>
          <w:ilvl w:val="0"/>
          <w:numId w:val="2"/>
        </w:numPr>
        <w:spacing w:after="120" w:line="360" w:lineRule="auto"/>
        <w:ind w:left="426" w:right="49" w:hanging="426"/>
        <w:contextualSpacing/>
        <w:jc w:val="both"/>
        <w:rPr>
          <w:rFonts w:ascii="Palatino Linotype" w:hAnsi="Palatino Linotype" w:cs="Arial"/>
          <w:color w:val="000000" w:themeColor="text1"/>
          <w:sz w:val="24"/>
        </w:rPr>
      </w:pPr>
      <w:r w:rsidRPr="00B50274">
        <w:rPr>
          <w:rFonts w:ascii="Palatino Linotype" w:hAnsi="Palatino Linotype" w:cs="Arial"/>
          <w:color w:val="000000" w:themeColor="text1"/>
          <w:sz w:val="24"/>
        </w:rPr>
        <w:t xml:space="preserve">Mientras que los artículos 130 y 105 de la Ley Estatal y de la Ley General, respectivamente, señalan que la aplicación de estos supuestos debe de realizarse de manera restrictiva y limitada, por lo que debe acreditarse que se </w:t>
      </w:r>
      <w:r w:rsidRPr="00B50274">
        <w:rPr>
          <w:rFonts w:ascii="Palatino Linotype" w:hAnsi="Palatino Linotype" w:cs="Arial"/>
          <w:color w:val="000000" w:themeColor="text1"/>
          <w:sz w:val="24"/>
        </w:rPr>
        <w:lastRenderedPageBreak/>
        <w:t>cumple con esta condición y no se pueden ampliar las excepciones o supuestos de clasificación aduciendo analogía o mayoría de razón.</w:t>
      </w:r>
    </w:p>
    <w:p w:rsidR="003D02D4" w:rsidRPr="00B50274" w:rsidRDefault="003D02D4" w:rsidP="003D02D4">
      <w:pPr>
        <w:spacing w:after="120" w:line="360" w:lineRule="auto"/>
        <w:ind w:left="426" w:right="49"/>
        <w:contextualSpacing/>
        <w:jc w:val="both"/>
        <w:rPr>
          <w:rFonts w:ascii="Palatino Linotype" w:hAnsi="Palatino Linotype" w:cs="Arial"/>
          <w:color w:val="000000" w:themeColor="text1"/>
        </w:rPr>
      </w:pPr>
    </w:p>
    <w:p w:rsidR="003D02D4" w:rsidRPr="00B50274" w:rsidRDefault="003D02D4" w:rsidP="003D02D4">
      <w:pPr>
        <w:numPr>
          <w:ilvl w:val="0"/>
          <w:numId w:val="2"/>
        </w:numPr>
        <w:spacing w:after="120" w:line="360" w:lineRule="auto"/>
        <w:ind w:left="426" w:right="49" w:hanging="426"/>
        <w:contextualSpacing/>
        <w:jc w:val="both"/>
        <w:rPr>
          <w:rFonts w:ascii="Palatino Linotype" w:hAnsi="Palatino Linotype" w:cs="Arial"/>
          <w:color w:val="000000" w:themeColor="text1"/>
          <w:sz w:val="24"/>
        </w:rPr>
      </w:pPr>
      <w:r w:rsidRPr="00B50274">
        <w:rPr>
          <w:rFonts w:ascii="Palatino Linotype" w:hAnsi="Palatino Linotype" w:cs="Arial"/>
          <w:color w:val="000000" w:themeColor="text1"/>
          <w:sz w:val="24"/>
        </w:rPr>
        <w:t>Como consecuencia de lo anterior, el Sujeto Obligado debe identificar claramente el tipo de información y hacer un juicio de subsunción o encaje</w:t>
      </w:r>
      <w:r w:rsidRPr="00B50274">
        <w:rPr>
          <w:rFonts w:ascii="Palatino Linotype" w:hAnsi="Palatino Linotype" w:cs="Arial"/>
          <w:color w:val="000000" w:themeColor="text1"/>
          <w:sz w:val="24"/>
          <w:vertAlign w:val="superscript"/>
        </w:rPr>
        <w:footnoteReference w:id="4"/>
      </w:r>
      <w:r w:rsidRPr="00B50274">
        <w:rPr>
          <w:rFonts w:ascii="Palatino Linotype" w:hAnsi="Palatino Linotype" w:cs="Arial"/>
          <w:color w:val="000000" w:themeColor="text1"/>
          <w:sz w:val="24"/>
        </w:rPr>
        <w:t xml:space="preserve"> para acreditar que el supuesto de hecho corresponde estrictamente con la hipótesis jurídica. Esto también lo debe de realizar el servidor público habilitado y el titular del área que administra la información.</w:t>
      </w:r>
    </w:p>
    <w:p w:rsidR="003D02D4" w:rsidRPr="00B50274" w:rsidRDefault="003D02D4" w:rsidP="003D02D4">
      <w:pPr>
        <w:spacing w:after="120" w:line="360" w:lineRule="auto"/>
        <w:ind w:left="426" w:right="49"/>
        <w:contextualSpacing/>
        <w:jc w:val="both"/>
        <w:rPr>
          <w:rFonts w:ascii="Palatino Linotype" w:hAnsi="Palatino Linotype" w:cs="Arial"/>
          <w:color w:val="000000" w:themeColor="text1"/>
        </w:rPr>
      </w:pPr>
    </w:p>
    <w:p w:rsidR="003D02D4" w:rsidRPr="00B50274" w:rsidRDefault="003D02D4" w:rsidP="003D02D4">
      <w:pPr>
        <w:spacing w:after="120" w:line="360" w:lineRule="auto"/>
        <w:ind w:left="426" w:right="49"/>
        <w:contextualSpacing/>
        <w:jc w:val="both"/>
        <w:rPr>
          <w:rFonts w:ascii="Palatino Linotype" w:hAnsi="Palatino Linotype" w:cs="Arial"/>
          <w:b/>
          <w:color w:val="000000" w:themeColor="text1"/>
          <w:sz w:val="24"/>
        </w:rPr>
      </w:pPr>
      <w:r w:rsidRPr="00B50274">
        <w:rPr>
          <w:rFonts w:ascii="Palatino Linotype" w:hAnsi="Palatino Linotype" w:cs="Arial"/>
          <w:b/>
          <w:color w:val="000000" w:themeColor="text1"/>
          <w:sz w:val="24"/>
        </w:rPr>
        <w:t>Formalidades para emitir el acuerdo de clasificación.</w:t>
      </w:r>
    </w:p>
    <w:p w:rsidR="003D02D4" w:rsidRPr="00B50274" w:rsidRDefault="003D02D4" w:rsidP="003D02D4">
      <w:pPr>
        <w:numPr>
          <w:ilvl w:val="0"/>
          <w:numId w:val="2"/>
        </w:numPr>
        <w:spacing w:after="120" w:line="360" w:lineRule="auto"/>
        <w:ind w:left="426" w:right="49" w:hanging="426"/>
        <w:contextualSpacing/>
        <w:jc w:val="both"/>
        <w:rPr>
          <w:rFonts w:ascii="Palatino Linotype" w:hAnsi="Palatino Linotype" w:cs="Arial"/>
          <w:color w:val="000000" w:themeColor="text1"/>
          <w:sz w:val="24"/>
        </w:rPr>
      </w:pPr>
      <w:r w:rsidRPr="00B50274">
        <w:rPr>
          <w:rFonts w:ascii="Palatino Linotype" w:hAnsi="Palatino Linotype" w:cs="Arial"/>
          <w:color w:val="000000" w:themeColor="text1"/>
          <w:sz w:val="24"/>
        </w:rPr>
        <w:t xml:space="preserve">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w:t>
      </w:r>
      <w:r w:rsidRPr="00B50274">
        <w:rPr>
          <w:rFonts w:ascii="Palatino Linotype" w:hAnsi="Palatino Linotype" w:cs="Arial"/>
          <w:color w:val="000000" w:themeColor="text1"/>
          <w:sz w:val="24"/>
        </w:rPr>
        <w:lastRenderedPageBreak/>
        <w:t>para aprobar, modificar o revocar la clasificación de la información que haya propuesto. Por lo tanto, el Comité aprueba modifica o revoca la clasificación.</w:t>
      </w:r>
    </w:p>
    <w:p w:rsidR="003D02D4" w:rsidRPr="00B50274" w:rsidRDefault="003D02D4" w:rsidP="003D02D4">
      <w:pPr>
        <w:spacing w:after="120" w:line="360" w:lineRule="auto"/>
        <w:ind w:left="426" w:right="49"/>
        <w:contextualSpacing/>
        <w:jc w:val="both"/>
        <w:rPr>
          <w:rFonts w:ascii="Palatino Linotype" w:hAnsi="Palatino Linotype" w:cs="Arial"/>
          <w:color w:val="000000" w:themeColor="text1"/>
        </w:rPr>
      </w:pPr>
    </w:p>
    <w:p w:rsidR="003D02D4" w:rsidRPr="00B50274" w:rsidRDefault="003D02D4" w:rsidP="003D02D4">
      <w:pPr>
        <w:numPr>
          <w:ilvl w:val="0"/>
          <w:numId w:val="2"/>
        </w:numPr>
        <w:spacing w:after="120" w:line="360" w:lineRule="auto"/>
        <w:ind w:left="426" w:right="49" w:hanging="426"/>
        <w:contextualSpacing/>
        <w:jc w:val="both"/>
        <w:rPr>
          <w:rFonts w:ascii="Palatino Linotype" w:hAnsi="Palatino Linotype" w:cs="Arial"/>
          <w:color w:val="000000" w:themeColor="text1"/>
          <w:sz w:val="24"/>
        </w:rPr>
      </w:pPr>
      <w:r w:rsidRPr="00B50274">
        <w:rPr>
          <w:rFonts w:ascii="Palatino Linotype" w:hAnsi="Palatino Linotype" w:cs="Arial"/>
          <w:color w:val="000000" w:themeColor="text1"/>
          <w:sz w:val="24"/>
        </w:rPr>
        <w:t xml:space="preserve">Evidentemente, esta decisión implica una restricción a un derecho humano, por lo tanto, puede generar un agravio al particular y, en consecuencia, es necesario que </w:t>
      </w:r>
      <w:r w:rsidRPr="00B50274">
        <w:rPr>
          <w:rFonts w:ascii="Palatino Linotype" w:hAnsi="Palatino Linotype" w:cs="Arial"/>
          <w:b/>
          <w:color w:val="000000" w:themeColor="text1"/>
          <w:sz w:val="24"/>
          <w:u w:val="single"/>
        </w:rPr>
        <w:t>el acto reúna con los requisitos elementales</w:t>
      </w:r>
      <w:r w:rsidRPr="00B50274">
        <w:rPr>
          <w:rFonts w:ascii="Palatino Linotype" w:hAnsi="Palatino Linotype" w:cs="Arial"/>
          <w:color w:val="000000" w:themeColor="text1"/>
          <w:sz w:val="24"/>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y el servidor público encargado de la protección de datos personales; integrado siempre por un número impar y que no debe de existir dependencia jerárquica entre sus integrantes. Cualquier otra composición del Comité puede generar vicios de legalidad de origen en el acto que restringe un derecho humano.</w:t>
      </w:r>
    </w:p>
    <w:p w:rsidR="003D02D4" w:rsidRPr="00B50274" w:rsidRDefault="003D02D4" w:rsidP="003D02D4">
      <w:pPr>
        <w:spacing w:after="120" w:line="360" w:lineRule="auto"/>
        <w:ind w:left="426" w:right="49"/>
        <w:contextualSpacing/>
        <w:jc w:val="both"/>
        <w:rPr>
          <w:rFonts w:ascii="Palatino Linotype" w:hAnsi="Palatino Linotype" w:cs="Arial"/>
          <w:color w:val="000000" w:themeColor="text1"/>
        </w:rPr>
      </w:pPr>
    </w:p>
    <w:p w:rsidR="003D02D4" w:rsidRPr="00B50274" w:rsidRDefault="003D02D4" w:rsidP="003D02D4">
      <w:pPr>
        <w:numPr>
          <w:ilvl w:val="0"/>
          <w:numId w:val="2"/>
        </w:numPr>
        <w:spacing w:after="120" w:line="360" w:lineRule="auto"/>
        <w:ind w:left="426" w:right="49" w:hanging="426"/>
        <w:contextualSpacing/>
        <w:jc w:val="both"/>
        <w:rPr>
          <w:rFonts w:ascii="Palatino Linotype" w:hAnsi="Palatino Linotype" w:cs="Arial"/>
          <w:color w:val="000000" w:themeColor="text1"/>
          <w:sz w:val="24"/>
        </w:rPr>
      </w:pPr>
      <w:r w:rsidRPr="00B50274">
        <w:rPr>
          <w:rFonts w:ascii="Palatino Linotype" w:hAnsi="Palatino Linotype" w:cs="Arial"/>
          <w:color w:val="000000" w:themeColor="text1"/>
          <w:sz w:val="24"/>
        </w:rPr>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3D02D4" w:rsidRPr="00B50274" w:rsidRDefault="003D02D4" w:rsidP="003D02D4">
      <w:pPr>
        <w:spacing w:after="120" w:line="360" w:lineRule="auto"/>
        <w:ind w:left="426" w:right="49"/>
        <w:contextualSpacing/>
        <w:jc w:val="both"/>
        <w:rPr>
          <w:rFonts w:ascii="Palatino Linotype" w:hAnsi="Palatino Linotype" w:cs="Arial"/>
          <w:color w:val="000000" w:themeColor="text1"/>
        </w:rPr>
      </w:pPr>
    </w:p>
    <w:p w:rsidR="003D02D4" w:rsidRPr="00B50274" w:rsidRDefault="003D02D4" w:rsidP="003D02D4">
      <w:pPr>
        <w:spacing w:after="120" w:line="360" w:lineRule="auto"/>
        <w:ind w:left="426" w:right="49"/>
        <w:contextualSpacing/>
        <w:jc w:val="both"/>
        <w:rPr>
          <w:rFonts w:ascii="Palatino Linotype" w:hAnsi="Palatino Linotype" w:cs="Arial"/>
          <w:color w:val="000000" w:themeColor="text1"/>
          <w:sz w:val="24"/>
        </w:rPr>
      </w:pPr>
      <w:r w:rsidRPr="00B50274">
        <w:rPr>
          <w:rFonts w:ascii="Palatino Linotype" w:hAnsi="Palatino Linotype" w:cs="Arial"/>
          <w:b/>
          <w:color w:val="000000" w:themeColor="text1"/>
          <w:sz w:val="24"/>
        </w:rPr>
        <w:lastRenderedPageBreak/>
        <w:t>Requisitos</w:t>
      </w:r>
      <w:r w:rsidRPr="00B50274">
        <w:rPr>
          <w:rFonts w:ascii="Palatino Linotype" w:hAnsi="Palatino Linotype" w:cs="Arial"/>
          <w:color w:val="000000" w:themeColor="text1"/>
          <w:sz w:val="24"/>
        </w:rPr>
        <w:t xml:space="preserve"> </w:t>
      </w:r>
      <w:r w:rsidRPr="00B50274">
        <w:rPr>
          <w:rFonts w:ascii="Palatino Linotype" w:hAnsi="Palatino Linotype" w:cs="Arial"/>
          <w:b/>
          <w:color w:val="000000" w:themeColor="text1"/>
          <w:sz w:val="24"/>
        </w:rPr>
        <w:t>de fondo del acuerdo de clasificación</w:t>
      </w:r>
    </w:p>
    <w:p w:rsidR="003D02D4" w:rsidRPr="00B50274" w:rsidRDefault="003D02D4" w:rsidP="003D02D4">
      <w:pPr>
        <w:numPr>
          <w:ilvl w:val="0"/>
          <w:numId w:val="2"/>
        </w:numPr>
        <w:spacing w:after="120" w:line="360" w:lineRule="auto"/>
        <w:ind w:left="426" w:right="49" w:hanging="426"/>
        <w:contextualSpacing/>
        <w:jc w:val="both"/>
        <w:rPr>
          <w:rFonts w:ascii="Palatino Linotype" w:hAnsi="Palatino Linotype" w:cs="Arial"/>
          <w:color w:val="000000" w:themeColor="text1"/>
          <w:sz w:val="24"/>
        </w:rPr>
      </w:pPr>
      <w:r w:rsidRPr="00B50274">
        <w:rPr>
          <w:rFonts w:ascii="Palatino Linotype" w:hAnsi="Palatino Linotype" w:cs="Arial"/>
          <w:color w:val="000000" w:themeColor="text1"/>
          <w:sz w:val="24"/>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rsidR="003D02D4" w:rsidRPr="00B50274" w:rsidRDefault="003D02D4" w:rsidP="003D02D4">
      <w:pPr>
        <w:numPr>
          <w:ilvl w:val="0"/>
          <w:numId w:val="2"/>
        </w:numPr>
        <w:spacing w:after="120" w:line="360" w:lineRule="auto"/>
        <w:ind w:left="426" w:right="49" w:hanging="426"/>
        <w:contextualSpacing/>
        <w:jc w:val="both"/>
        <w:rPr>
          <w:rFonts w:ascii="Palatino Linotype" w:hAnsi="Palatino Linotype" w:cs="Arial"/>
          <w:color w:val="000000" w:themeColor="text1"/>
          <w:sz w:val="24"/>
        </w:rPr>
      </w:pPr>
      <w:r w:rsidRPr="00B50274">
        <w:rPr>
          <w:rFonts w:ascii="Palatino Linotype" w:hAnsi="Palatino Linotype" w:cs="Arial"/>
          <w:color w:val="000000" w:themeColor="text1"/>
          <w:sz w:val="24"/>
        </w:rPr>
        <w:t xml:space="preserve">De lo anterior, se desprende que para una correcta </w:t>
      </w:r>
      <w:r w:rsidRPr="00B50274">
        <w:rPr>
          <w:rFonts w:ascii="Palatino Linotype" w:hAnsi="Palatino Linotype" w:cs="Arial"/>
          <w:b/>
          <w:color w:val="000000" w:themeColor="text1"/>
          <w:sz w:val="24"/>
        </w:rPr>
        <w:t>clasificación total o parcial</w:t>
      </w:r>
      <w:r w:rsidRPr="00B50274">
        <w:rPr>
          <w:rFonts w:ascii="Palatino Linotype" w:hAnsi="Palatino Linotype" w:cs="Arial"/>
          <w:color w:val="000000" w:themeColor="text1"/>
          <w:sz w:val="24"/>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3D02D4" w:rsidRPr="00B50274" w:rsidRDefault="003D02D4" w:rsidP="003D02D4">
      <w:pPr>
        <w:spacing w:after="120" w:line="360" w:lineRule="auto"/>
        <w:ind w:left="426" w:right="49"/>
        <w:contextualSpacing/>
        <w:jc w:val="both"/>
        <w:rPr>
          <w:rFonts w:ascii="Palatino Linotype" w:hAnsi="Palatino Linotype" w:cs="Arial"/>
          <w:color w:val="000000" w:themeColor="text1"/>
        </w:rPr>
      </w:pPr>
    </w:p>
    <w:p w:rsidR="003D02D4" w:rsidRPr="00B50274" w:rsidRDefault="003D02D4" w:rsidP="003D02D4">
      <w:pPr>
        <w:numPr>
          <w:ilvl w:val="0"/>
          <w:numId w:val="2"/>
        </w:numPr>
        <w:spacing w:after="120" w:line="360" w:lineRule="auto"/>
        <w:ind w:left="426" w:right="49" w:hanging="426"/>
        <w:contextualSpacing/>
        <w:jc w:val="both"/>
        <w:rPr>
          <w:rFonts w:ascii="Palatino Linotype" w:hAnsi="Palatino Linotype" w:cs="Arial"/>
          <w:color w:val="000000" w:themeColor="text1"/>
          <w:sz w:val="24"/>
        </w:rPr>
      </w:pPr>
      <w:r w:rsidRPr="00B50274">
        <w:rPr>
          <w:rFonts w:ascii="Palatino Linotype" w:hAnsi="Palatino Linotype" w:cs="Arial"/>
          <w:color w:val="000000" w:themeColor="text1"/>
          <w:sz w:val="24"/>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w:t>
      </w:r>
      <w:r w:rsidRPr="00B50274">
        <w:rPr>
          <w:rFonts w:ascii="Palatino Linotype" w:hAnsi="Palatino Linotype" w:cs="Arial"/>
          <w:color w:val="000000" w:themeColor="text1"/>
          <w:sz w:val="24"/>
        </w:rPr>
        <w:lastRenderedPageBreak/>
        <w:t>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B50274">
        <w:rPr>
          <w:rFonts w:ascii="Palatino Linotype" w:hAnsi="Palatino Linotype" w:cs="Arial"/>
          <w:color w:val="000000" w:themeColor="text1"/>
          <w:sz w:val="24"/>
          <w:vertAlign w:val="superscript"/>
        </w:rPr>
        <w:footnoteReference w:id="5"/>
      </w:r>
    </w:p>
    <w:p w:rsidR="003D02D4" w:rsidRPr="00B50274" w:rsidRDefault="003D02D4" w:rsidP="003D02D4">
      <w:pPr>
        <w:spacing w:after="120" w:line="360" w:lineRule="auto"/>
        <w:ind w:left="426" w:right="49"/>
        <w:contextualSpacing/>
        <w:jc w:val="both"/>
        <w:rPr>
          <w:rFonts w:ascii="Palatino Linotype" w:hAnsi="Palatino Linotype" w:cs="Arial"/>
          <w:color w:val="000000" w:themeColor="text1"/>
        </w:rPr>
      </w:pPr>
    </w:p>
    <w:p w:rsidR="003D02D4" w:rsidRPr="00B50274" w:rsidRDefault="003D02D4" w:rsidP="003D02D4">
      <w:pPr>
        <w:numPr>
          <w:ilvl w:val="0"/>
          <w:numId w:val="2"/>
        </w:numPr>
        <w:spacing w:after="120" w:line="360" w:lineRule="auto"/>
        <w:ind w:left="426" w:right="49" w:hanging="426"/>
        <w:contextualSpacing/>
        <w:jc w:val="both"/>
        <w:rPr>
          <w:rFonts w:ascii="Palatino Linotype" w:hAnsi="Palatino Linotype" w:cs="Arial"/>
          <w:color w:val="000000" w:themeColor="text1"/>
          <w:sz w:val="24"/>
        </w:rPr>
      </w:pPr>
      <w:r w:rsidRPr="00B50274">
        <w:rPr>
          <w:rFonts w:ascii="Palatino Linotype" w:hAnsi="Palatino Linotype" w:cs="Arial"/>
          <w:color w:val="000000" w:themeColor="text1"/>
          <w:sz w:val="24"/>
        </w:rPr>
        <w:t>Por su parte, el intérprete judicial del país ha establecido una jurisprudencia respecto a qué debe entenderse por fundamentación y motivación, en los siguientes términos:</w:t>
      </w:r>
    </w:p>
    <w:p w:rsidR="003D02D4" w:rsidRPr="00B50274" w:rsidRDefault="003D02D4" w:rsidP="003D02D4">
      <w:pPr>
        <w:spacing w:after="120" w:line="360" w:lineRule="auto"/>
        <w:ind w:left="426" w:right="49"/>
        <w:contextualSpacing/>
        <w:jc w:val="both"/>
        <w:rPr>
          <w:rFonts w:ascii="Palatino Linotype" w:hAnsi="Palatino Linotype" w:cs="Arial"/>
          <w:color w:val="000000" w:themeColor="text1"/>
        </w:rPr>
      </w:pPr>
    </w:p>
    <w:p w:rsidR="003D02D4" w:rsidRPr="00B50274" w:rsidRDefault="003D02D4" w:rsidP="003D02D4">
      <w:pPr>
        <w:spacing w:after="120" w:line="360" w:lineRule="auto"/>
        <w:ind w:left="851" w:right="616"/>
        <w:contextualSpacing/>
        <w:jc w:val="both"/>
        <w:rPr>
          <w:rFonts w:ascii="Palatino Linotype" w:hAnsi="Palatino Linotype" w:cs="Arial"/>
          <w:i/>
          <w:color w:val="000000" w:themeColor="text1"/>
        </w:rPr>
      </w:pPr>
      <w:r w:rsidRPr="00B50274">
        <w:rPr>
          <w:rFonts w:ascii="Palatino Linotype" w:hAnsi="Palatino Linotype" w:cs="Arial"/>
          <w:b/>
          <w:i/>
          <w:color w:val="000000" w:themeColor="text1"/>
        </w:rPr>
        <w:t>FUNDAMENTACIÓN Y MOTIVACIÓN.</w:t>
      </w:r>
      <w:r w:rsidRPr="00B50274">
        <w:rPr>
          <w:rFonts w:ascii="Palatino Linotype" w:hAnsi="Palatino Linotype" w:cs="Arial"/>
          <w:i/>
          <w:color w:val="000000" w:themeColor="text1"/>
        </w:rPr>
        <w:t xml:space="preserve"> La </w:t>
      </w:r>
      <w:r w:rsidRPr="00B50274">
        <w:rPr>
          <w:rFonts w:ascii="Palatino Linotype" w:hAnsi="Palatino Linotype" w:cs="Arial"/>
          <w:i/>
          <w:color w:val="000000" w:themeColor="text1"/>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B50274">
        <w:rPr>
          <w:rFonts w:ascii="Palatino Linotype" w:hAnsi="Palatino Linotype" w:cs="Arial"/>
          <w:i/>
          <w:color w:val="000000" w:themeColor="text1"/>
        </w:rPr>
        <w:t>.</w:t>
      </w:r>
    </w:p>
    <w:p w:rsidR="003D02D4" w:rsidRPr="00B50274" w:rsidRDefault="003D02D4" w:rsidP="003D02D4">
      <w:pPr>
        <w:spacing w:after="120" w:line="360" w:lineRule="auto"/>
        <w:ind w:left="851" w:right="567"/>
        <w:contextualSpacing/>
        <w:jc w:val="both"/>
        <w:rPr>
          <w:rFonts w:ascii="Palatino Linotype" w:hAnsi="Palatino Linotype" w:cs="Arial"/>
          <w:i/>
          <w:color w:val="000000" w:themeColor="text1"/>
        </w:rPr>
      </w:pPr>
      <w:r w:rsidRPr="00B50274">
        <w:rPr>
          <w:rFonts w:ascii="Palatino Linotype" w:hAnsi="Palatino Linotype" w:cs="Arial"/>
          <w:i/>
          <w:color w:val="000000" w:themeColor="text1"/>
        </w:rPr>
        <w:t>SEGUNDO TRIBUNAL COLEGIADO DEL SEXTO CIRCUITO.</w:t>
      </w:r>
    </w:p>
    <w:p w:rsidR="003D02D4" w:rsidRPr="00B50274" w:rsidRDefault="003D02D4" w:rsidP="003D02D4">
      <w:pPr>
        <w:spacing w:after="120" w:line="360" w:lineRule="auto"/>
        <w:ind w:left="851" w:right="567"/>
        <w:contextualSpacing/>
        <w:jc w:val="both"/>
        <w:rPr>
          <w:rFonts w:ascii="Palatino Linotype" w:hAnsi="Palatino Linotype" w:cs="Arial"/>
          <w:i/>
          <w:color w:val="000000" w:themeColor="text1"/>
        </w:rPr>
      </w:pPr>
      <w:r w:rsidRPr="00B50274">
        <w:rPr>
          <w:rFonts w:ascii="Palatino Linotype" w:hAnsi="Palatino Linotype" w:cs="Arial"/>
          <w:i/>
          <w:color w:val="000000" w:themeColor="text1"/>
        </w:rPr>
        <w:t>Amparo directo 194/88. Bufete Industrial Construcciones, S.A. de C.V. 28 de junio de 1988. Unanimidad de votos. Ponente: Gustavo Calvillo Rangel. Secretario: Jorge Alberto González Álvarez.</w:t>
      </w:r>
    </w:p>
    <w:p w:rsidR="003D02D4" w:rsidRPr="00B50274" w:rsidRDefault="003D02D4" w:rsidP="003D02D4">
      <w:pPr>
        <w:spacing w:after="120" w:line="360" w:lineRule="auto"/>
        <w:ind w:left="851" w:right="567"/>
        <w:contextualSpacing/>
        <w:jc w:val="both"/>
        <w:rPr>
          <w:rFonts w:ascii="Palatino Linotype" w:hAnsi="Palatino Linotype" w:cs="Arial"/>
          <w:i/>
          <w:color w:val="000000" w:themeColor="text1"/>
        </w:rPr>
      </w:pPr>
      <w:r w:rsidRPr="00B50274">
        <w:rPr>
          <w:rFonts w:ascii="Palatino Linotype" w:hAnsi="Palatino Linotype" w:cs="Arial"/>
          <w:i/>
          <w:color w:val="000000" w:themeColor="text1"/>
        </w:rPr>
        <w:t xml:space="preserve">Revisión fiscal 103/88. Instituto Mexicano del Seguro Social. 18 de octubre de 1988. Unanimidad de votos. Ponente: Arnoldo Nájera Virgen. Secretario: Alejandro </w:t>
      </w:r>
      <w:proofErr w:type="spellStart"/>
      <w:r w:rsidRPr="00B50274">
        <w:rPr>
          <w:rFonts w:ascii="Palatino Linotype" w:hAnsi="Palatino Linotype" w:cs="Arial"/>
          <w:i/>
          <w:color w:val="000000" w:themeColor="text1"/>
        </w:rPr>
        <w:t>Esponda</w:t>
      </w:r>
      <w:proofErr w:type="spellEnd"/>
      <w:r w:rsidRPr="00B50274">
        <w:rPr>
          <w:rFonts w:ascii="Palatino Linotype" w:hAnsi="Palatino Linotype" w:cs="Arial"/>
          <w:i/>
          <w:color w:val="000000" w:themeColor="text1"/>
        </w:rPr>
        <w:t xml:space="preserve"> Rincón.</w:t>
      </w:r>
    </w:p>
    <w:p w:rsidR="003D02D4" w:rsidRPr="00B50274" w:rsidRDefault="003D02D4" w:rsidP="003D02D4">
      <w:pPr>
        <w:spacing w:after="120" w:line="360" w:lineRule="auto"/>
        <w:ind w:left="851" w:right="567"/>
        <w:contextualSpacing/>
        <w:jc w:val="both"/>
        <w:rPr>
          <w:rFonts w:ascii="Palatino Linotype" w:hAnsi="Palatino Linotype" w:cs="Arial"/>
          <w:i/>
          <w:color w:val="000000" w:themeColor="text1"/>
        </w:rPr>
      </w:pPr>
      <w:r w:rsidRPr="00B50274">
        <w:rPr>
          <w:rFonts w:ascii="Palatino Linotype" w:hAnsi="Palatino Linotype" w:cs="Arial"/>
          <w:i/>
          <w:color w:val="000000" w:themeColor="text1"/>
        </w:rPr>
        <w:lastRenderedPageBreak/>
        <w:t xml:space="preserve">Amparo en revisión 333/88. </w:t>
      </w:r>
      <w:proofErr w:type="spellStart"/>
      <w:r w:rsidRPr="00B50274">
        <w:rPr>
          <w:rFonts w:ascii="Palatino Linotype" w:hAnsi="Palatino Linotype" w:cs="Arial"/>
          <w:i/>
          <w:color w:val="000000" w:themeColor="text1"/>
        </w:rPr>
        <w:t>Adilia</w:t>
      </w:r>
      <w:proofErr w:type="spellEnd"/>
      <w:r w:rsidRPr="00B50274">
        <w:rPr>
          <w:rFonts w:ascii="Palatino Linotype" w:hAnsi="Palatino Linotype" w:cs="Arial"/>
          <w:i/>
          <w:color w:val="000000" w:themeColor="text1"/>
        </w:rPr>
        <w:t xml:space="preserve"> Romero. 26 de octubre de 1988. Unanimidad de votos. Ponente: Arnoldo Nájera Virgen. Secretario: Enrique Crispín Campos Ramírez.</w:t>
      </w:r>
    </w:p>
    <w:p w:rsidR="003D02D4" w:rsidRPr="00B50274" w:rsidRDefault="003D02D4" w:rsidP="003D02D4">
      <w:pPr>
        <w:spacing w:after="120" w:line="360" w:lineRule="auto"/>
        <w:ind w:left="851" w:right="567"/>
        <w:contextualSpacing/>
        <w:jc w:val="both"/>
        <w:rPr>
          <w:rFonts w:ascii="Palatino Linotype" w:hAnsi="Palatino Linotype" w:cs="Arial"/>
          <w:i/>
          <w:color w:val="000000" w:themeColor="text1"/>
        </w:rPr>
      </w:pPr>
      <w:r w:rsidRPr="00B50274">
        <w:rPr>
          <w:rFonts w:ascii="Palatino Linotype" w:hAnsi="Palatino Linotype" w:cs="Arial"/>
          <w:i/>
          <w:color w:val="000000" w:themeColor="text1"/>
        </w:rPr>
        <w:t xml:space="preserve">Amparo en revisión 597/95. Emilio Maurer Bretón. 15 de noviembre de 1995. Unanimidad de votos. Ponente: Clementina Ramírez Moguel </w:t>
      </w:r>
      <w:proofErr w:type="spellStart"/>
      <w:r w:rsidRPr="00B50274">
        <w:rPr>
          <w:rFonts w:ascii="Palatino Linotype" w:hAnsi="Palatino Linotype" w:cs="Arial"/>
          <w:i/>
          <w:color w:val="000000" w:themeColor="text1"/>
        </w:rPr>
        <w:t>Goyzueta</w:t>
      </w:r>
      <w:proofErr w:type="spellEnd"/>
      <w:r w:rsidRPr="00B50274">
        <w:rPr>
          <w:rFonts w:ascii="Palatino Linotype" w:hAnsi="Palatino Linotype" w:cs="Arial"/>
          <w:i/>
          <w:color w:val="000000" w:themeColor="text1"/>
        </w:rPr>
        <w:t>. Secretario: Gonzalo Carrera Molina.</w:t>
      </w:r>
    </w:p>
    <w:p w:rsidR="003D02D4" w:rsidRPr="00B50274" w:rsidRDefault="003D02D4" w:rsidP="003D02D4">
      <w:pPr>
        <w:spacing w:after="120" w:line="360" w:lineRule="auto"/>
        <w:ind w:left="851" w:right="567"/>
        <w:contextualSpacing/>
        <w:jc w:val="both"/>
        <w:rPr>
          <w:rFonts w:ascii="Palatino Linotype" w:hAnsi="Palatino Linotype" w:cs="Arial"/>
          <w:i/>
          <w:color w:val="000000" w:themeColor="text1"/>
        </w:rPr>
      </w:pPr>
      <w:r w:rsidRPr="00B50274">
        <w:rPr>
          <w:rFonts w:ascii="Palatino Linotype" w:hAnsi="Palatino Linotype" w:cs="Arial"/>
          <w:i/>
          <w:color w:val="000000" w:themeColor="text1"/>
        </w:rPr>
        <w:t xml:space="preserve">Amparo directo 7/96. Pedro Vicente López Miro. 21 de febrero de 1996. Unanimidad de votos. Ponente: María Eugenia Estela Martínez Cardiel. Secretario: Enrique </w:t>
      </w:r>
      <w:proofErr w:type="spellStart"/>
      <w:r w:rsidRPr="00B50274">
        <w:rPr>
          <w:rFonts w:ascii="Palatino Linotype" w:hAnsi="Palatino Linotype" w:cs="Arial"/>
          <w:i/>
          <w:color w:val="000000" w:themeColor="text1"/>
        </w:rPr>
        <w:t>Baigts</w:t>
      </w:r>
      <w:proofErr w:type="spellEnd"/>
      <w:r w:rsidRPr="00B50274">
        <w:rPr>
          <w:rFonts w:ascii="Palatino Linotype" w:hAnsi="Palatino Linotype" w:cs="Arial"/>
          <w:i/>
          <w:color w:val="000000" w:themeColor="text1"/>
        </w:rPr>
        <w:t xml:space="preserve"> Muñoz.</w:t>
      </w:r>
    </w:p>
    <w:p w:rsidR="003D02D4" w:rsidRPr="00B50274" w:rsidRDefault="003D02D4" w:rsidP="003D02D4">
      <w:pPr>
        <w:spacing w:line="276" w:lineRule="auto"/>
        <w:ind w:left="426" w:right="49"/>
        <w:contextualSpacing/>
        <w:jc w:val="both"/>
        <w:rPr>
          <w:rFonts w:ascii="Palatino Linotype" w:hAnsi="Palatino Linotype" w:cs="Arial"/>
          <w:color w:val="000000" w:themeColor="text1"/>
        </w:rPr>
      </w:pPr>
    </w:p>
    <w:p w:rsidR="003D02D4" w:rsidRPr="00B50274" w:rsidRDefault="003D02D4" w:rsidP="003D02D4">
      <w:pPr>
        <w:numPr>
          <w:ilvl w:val="0"/>
          <w:numId w:val="2"/>
        </w:numPr>
        <w:spacing w:after="120" w:line="360" w:lineRule="auto"/>
        <w:ind w:left="426" w:right="49" w:hanging="426"/>
        <w:contextualSpacing/>
        <w:jc w:val="both"/>
        <w:rPr>
          <w:rFonts w:ascii="Palatino Linotype" w:hAnsi="Palatino Linotype" w:cs="Arial"/>
          <w:color w:val="000000" w:themeColor="text1"/>
          <w:sz w:val="24"/>
        </w:rPr>
      </w:pPr>
      <w:r w:rsidRPr="00B50274">
        <w:rPr>
          <w:rFonts w:ascii="Palatino Linotype" w:hAnsi="Palatino Linotype" w:cs="Arial"/>
          <w:color w:val="000000" w:themeColor="text1"/>
          <w:sz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3D02D4" w:rsidRPr="00B50274" w:rsidRDefault="003D02D4" w:rsidP="003D02D4">
      <w:pPr>
        <w:spacing w:after="120" w:line="360" w:lineRule="auto"/>
        <w:ind w:left="426" w:right="49"/>
        <w:contextualSpacing/>
        <w:jc w:val="both"/>
        <w:rPr>
          <w:rFonts w:ascii="Palatino Linotype" w:hAnsi="Palatino Linotype" w:cs="Arial"/>
          <w:color w:val="000000" w:themeColor="text1"/>
        </w:rPr>
      </w:pPr>
    </w:p>
    <w:p w:rsidR="003D02D4" w:rsidRPr="00B50274" w:rsidRDefault="003D02D4" w:rsidP="003D02D4">
      <w:pPr>
        <w:numPr>
          <w:ilvl w:val="0"/>
          <w:numId w:val="2"/>
        </w:numPr>
        <w:spacing w:after="120" w:line="360" w:lineRule="auto"/>
        <w:ind w:left="426" w:right="49" w:hanging="426"/>
        <w:contextualSpacing/>
        <w:jc w:val="both"/>
        <w:rPr>
          <w:rFonts w:ascii="Palatino Linotype" w:hAnsi="Palatino Linotype" w:cs="Arial"/>
          <w:color w:val="000000" w:themeColor="text1"/>
          <w:sz w:val="24"/>
        </w:rPr>
      </w:pPr>
      <w:r w:rsidRPr="00B50274">
        <w:rPr>
          <w:rFonts w:ascii="Palatino Linotype" w:hAnsi="Palatino Linotype" w:cs="Arial"/>
          <w:color w:val="000000" w:themeColor="text1"/>
          <w:sz w:val="24"/>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3D02D4" w:rsidRPr="00B50274" w:rsidRDefault="003D02D4" w:rsidP="003D02D4">
      <w:pPr>
        <w:spacing w:after="120" w:line="360" w:lineRule="auto"/>
        <w:ind w:left="426" w:right="49"/>
        <w:contextualSpacing/>
        <w:jc w:val="both"/>
        <w:rPr>
          <w:rFonts w:ascii="Palatino Linotype" w:hAnsi="Palatino Linotype" w:cs="Arial"/>
          <w:color w:val="000000" w:themeColor="text1"/>
        </w:rPr>
      </w:pPr>
    </w:p>
    <w:p w:rsidR="003D02D4" w:rsidRPr="00B50274" w:rsidRDefault="003D02D4" w:rsidP="003D02D4">
      <w:pPr>
        <w:numPr>
          <w:ilvl w:val="0"/>
          <w:numId w:val="2"/>
        </w:numPr>
        <w:spacing w:after="120" w:line="360" w:lineRule="auto"/>
        <w:ind w:left="426" w:right="49" w:hanging="426"/>
        <w:contextualSpacing/>
        <w:jc w:val="both"/>
        <w:rPr>
          <w:rFonts w:ascii="Palatino Linotype" w:hAnsi="Palatino Linotype" w:cs="Arial"/>
          <w:color w:val="000000" w:themeColor="text1"/>
          <w:sz w:val="24"/>
        </w:rPr>
      </w:pPr>
      <w:r w:rsidRPr="00B50274">
        <w:rPr>
          <w:rFonts w:ascii="Palatino Linotype" w:hAnsi="Palatino Linotype" w:cs="Arial"/>
          <w:color w:val="000000" w:themeColor="text1"/>
          <w:sz w:val="24"/>
        </w:rPr>
        <w:t>En ese mismo sentido, el numeral trigésimo tercero fracción V de los Lineamientos Generales, precisa que para motivar la clasificación se deben acreditar las circunstancias de tiempo, modo y lugar.</w:t>
      </w:r>
    </w:p>
    <w:p w:rsidR="003D02D4" w:rsidRPr="00B50274" w:rsidRDefault="003D02D4" w:rsidP="003D02D4">
      <w:pPr>
        <w:spacing w:after="120" w:line="360" w:lineRule="auto"/>
        <w:ind w:left="426" w:right="49"/>
        <w:contextualSpacing/>
        <w:jc w:val="both"/>
        <w:rPr>
          <w:rFonts w:ascii="Palatino Linotype" w:hAnsi="Palatino Linotype" w:cs="Arial"/>
          <w:color w:val="000000" w:themeColor="text1"/>
        </w:rPr>
      </w:pPr>
    </w:p>
    <w:p w:rsidR="003D02D4" w:rsidRPr="00B50274" w:rsidRDefault="003D02D4" w:rsidP="003D02D4">
      <w:pPr>
        <w:numPr>
          <w:ilvl w:val="0"/>
          <w:numId w:val="2"/>
        </w:numPr>
        <w:spacing w:after="120" w:line="360" w:lineRule="auto"/>
        <w:ind w:left="426" w:right="49" w:hanging="426"/>
        <w:contextualSpacing/>
        <w:jc w:val="both"/>
        <w:rPr>
          <w:rFonts w:ascii="Palatino Linotype" w:hAnsi="Palatino Linotype" w:cs="Arial"/>
          <w:color w:val="000000" w:themeColor="text1"/>
          <w:sz w:val="24"/>
        </w:rPr>
      </w:pPr>
      <w:r w:rsidRPr="00B50274">
        <w:rPr>
          <w:rFonts w:ascii="Palatino Linotype" w:hAnsi="Palatino Linotype" w:cs="Arial"/>
          <w:color w:val="000000" w:themeColor="text1"/>
          <w:sz w:val="24"/>
        </w:rPr>
        <w:lastRenderedPageBreak/>
        <w:t xml:space="preserve">Ahora bien, </w:t>
      </w:r>
      <w:r w:rsidRPr="00B50274">
        <w:rPr>
          <w:rFonts w:ascii="Palatino Linotype" w:hAnsi="Palatino Linotype" w:cs="Arial"/>
          <w:b/>
          <w:color w:val="000000" w:themeColor="text1"/>
          <w:sz w:val="24"/>
          <w:u w:val="single"/>
        </w:rPr>
        <w:t>para cada caso además de fundar y motivar</w:t>
      </w:r>
      <w:r w:rsidRPr="00B50274">
        <w:rPr>
          <w:rFonts w:ascii="Palatino Linotype" w:hAnsi="Palatino Linotype" w:cs="Arial"/>
          <w:color w:val="000000" w:themeColor="text1"/>
          <w:sz w:val="24"/>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B50274">
        <w:rPr>
          <w:rFonts w:ascii="Palatino Linotype" w:hAnsi="Palatino Linotype" w:cs="Arial"/>
          <w:color w:val="000000" w:themeColor="text1"/>
          <w:sz w:val="24"/>
          <w:vertAlign w:val="superscript"/>
        </w:rPr>
        <w:footnoteReference w:id="6"/>
      </w:r>
      <w:r w:rsidRPr="00B50274">
        <w:rPr>
          <w:rFonts w:ascii="Palatino Linotype" w:hAnsi="Palatino Linotype" w:cs="Arial"/>
          <w:color w:val="000000" w:themeColor="text1"/>
          <w:sz w:val="24"/>
        </w:rPr>
        <w:t xml:space="preserve"> del servidor público que no tienen ninguna injerencia en el tema de la transparencia y la rendición de cuentas,  por ejemplo, Clave Única de Registro de Población (CURP), Registro Federal de Contribuyentes (R.F.C.), estos son datos susceptibles de clasificarse como confidenciales mediante una versión pública que deje a la vista los datos que ofrezcan la información requerida. </w:t>
      </w:r>
    </w:p>
    <w:p w:rsidR="003D02D4" w:rsidRPr="00B50274" w:rsidRDefault="003D02D4" w:rsidP="003D02D4">
      <w:pPr>
        <w:spacing w:after="120" w:line="360" w:lineRule="auto"/>
        <w:ind w:left="426" w:right="49"/>
        <w:contextualSpacing/>
        <w:jc w:val="both"/>
        <w:rPr>
          <w:rFonts w:ascii="Palatino Linotype" w:hAnsi="Palatino Linotype" w:cs="Arial"/>
          <w:color w:val="000000" w:themeColor="text1"/>
        </w:rPr>
      </w:pPr>
    </w:p>
    <w:p w:rsidR="003D02D4" w:rsidRPr="00B50274" w:rsidRDefault="003D02D4" w:rsidP="003D02D4">
      <w:pPr>
        <w:numPr>
          <w:ilvl w:val="0"/>
          <w:numId w:val="2"/>
        </w:numPr>
        <w:spacing w:after="120" w:line="360" w:lineRule="auto"/>
        <w:ind w:left="426" w:right="49" w:hanging="426"/>
        <w:contextualSpacing/>
        <w:jc w:val="both"/>
        <w:rPr>
          <w:rFonts w:ascii="Palatino Linotype" w:hAnsi="Palatino Linotype" w:cs="Arial"/>
          <w:color w:val="000000" w:themeColor="text1"/>
          <w:sz w:val="24"/>
        </w:rPr>
      </w:pPr>
      <w:r w:rsidRPr="00B50274">
        <w:rPr>
          <w:rFonts w:ascii="Palatino Linotype" w:hAnsi="Palatino Linotype" w:cs="Arial"/>
          <w:color w:val="000000" w:themeColor="text1"/>
          <w:sz w:val="24"/>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rsidR="003D02D4" w:rsidRPr="00B50274" w:rsidRDefault="003D02D4" w:rsidP="003D02D4">
      <w:pPr>
        <w:spacing w:after="120" w:line="360" w:lineRule="auto"/>
        <w:ind w:left="426" w:right="49"/>
        <w:contextualSpacing/>
        <w:jc w:val="both"/>
        <w:rPr>
          <w:rFonts w:ascii="Palatino Linotype" w:hAnsi="Palatino Linotype" w:cs="Arial"/>
          <w:color w:val="000000" w:themeColor="text1"/>
        </w:rPr>
      </w:pPr>
    </w:p>
    <w:p w:rsidR="003D02D4" w:rsidRPr="00B50274" w:rsidRDefault="003D02D4" w:rsidP="003D02D4">
      <w:pPr>
        <w:spacing w:after="120" w:line="360" w:lineRule="auto"/>
        <w:ind w:left="426" w:right="49"/>
        <w:contextualSpacing/>
        <w:jc w:val="both"/>
        <w:rPr>
          <w:rFonts w:ascii="Palatino Linotype" w:hAnsi="Palatino Linotype" w:cs="Arial"/>
          <w:b/>
          <w:color w:val="000000" w:themeColor="text1"/>
          <w:sz w:val="24"/>
        </w:rPr>
      </w:pPr>
      <w:r w:rsidRPr="00B50274">
        <w:rPr>
          <w:rFonts w:ascii="Palatino Linotype" w:hAnsi="Palatino Linotype" w:cs="Arial"/>
          <w:b/>
          <w:color w:val="000000" w:themeColor="text1"/>
          <w:sz w:val="24"/>
        </w:rPr>
        <w:t>Condiciones especiales de la clasificación de la información como confidencial.</w:t>
      </w:r>
    </w:p>
    <w:p w:rsidR="003D02D4" w:rsidRPr="00B50274" w:rsidRDefault="003D02D4" w:rsidP="003D02D4">
      <w:pPr>
        <w:numPr>
          <w:ilvl w:val="0"/>
          <w:numId w:val="2"/>
        </w:numPr>
        <w:spacing w:after="120" w:line="360" w:lineRule="auto"/>
        <w:ind w:left="426" w:right="49" w:hanging="426"/>
        <w:contextualSpacing/>
        <w:jc w:val="both"/>
        <w:rPr>
          <w:rFonts w:ascii="Palatino Linotype" w:hAnsi="Palatino Linotype" w:cs="Arial"/>
          <w:color w:val="000000" w:themeColor="text1"/>
          <w:sz w:val="24"/>
        </w:rPr>
      </w:pPr>
      <w:r w:rsidRPr="00B50274">
        <w:rPr>
          <w:rFonts w:ascii="Palatino Linotype" w:hAnsi="Palatino Linotype" w:cs="Arial"/>
          <w:color w:val="000000" w:themeColor="text1"/>
          <w:sz w:val="24"/>
        </w:rPr>
        <w:t xml:space="preserve">Los artículos 148 y 120 de la Ley Estatal y de la Ley General, respectivamente, establecen que aun tratándose de datos personales, se podrán proporcionar, </w:t>
      </w:r>
      <w:r w:rsidRPr="00B50274">
        <w:rPr>
          <w:rFonts w:ascii="Palatino Linotype" w:hAnsi="Palatino Linotype" w:cs="Arial"/>
          <w:color w:val="000000" w:themeColor="text1"/>
          <w:sz w:val="24"/>
        </w:rPr>
        <w:lastRenderedPageBreak/>
        <w:t xml:space="preserve">incluso sin solicitar el consentimiento de su titular, cuando dichos datos correspondan a los siguientes supuestos: </w:t>
      </w:r>
    </w:p>
    <w:p w:rsidR="003D02D4" w:rsidRPr="00B50274" w:rsidRDefault="003D02D4" w:rsidP="003D02D4">
      <w:pPr>
        <w:spacing w:after="120" w:line="360" w:lineRule="auto"/>
        <w:ind w:left="851" w:right="758"/>
        <w:contextualSpacing/>
        <w:jc w:val="both"/>
        <w:rPr>
          <w:rFonts w:ascii="Palatino Linotype" w:hAnsi="Palatino Linotype" w:cs="Arial"/>
          <w:bCs/>
          <w:i/>
          <w:color w:val="000000" w:themeColor="text1"/>
        </w:rPr>
      </w:pPr>
      <w:r w:rsidRPr="00B50274">
        <w:rPr>
          <w:rFonts w:ascii="Palatino Linotype" w:hAnsi="Palatino Linotype" w:cs="Arial"/>
          <w:bCs/>
          <w:i/>
          <w:color w:val="000000" w:themeColor="text1"/>
        </w:rPr>
        <w:t>I.</w:t>
      </w:r>
      <w:r w:rsidRPr="00B50274">
        <w:rPr>
          <w:rFonts w:ascii="Palatino Linotype" w:hAnsi="Palatino Linotype" w:cs="Arial"/>
          <w:i/>
          <w:color w:val="000000" w:themeColor="text1"/>
        </w:rPr>
        <w:t xml:space="preserve"> La información se encuentre en registros públicos o fuentes de acceso público;</w:t>
      </w:r>
    </w:p>
    <w:p w:rsidR="003D02D4" w:rsidRPr="00B50274" w:rsidRDefault="003D02D4" w:rsidP="003D02D4">
      <w:pPr>
        <w:spacing w:after="120" w:line="360" w:lineRule="auto"/>
        <w:ind w:left="851" w:right="758"/>
        <w:contextualSpacing/>
        <w:jc w:val="both"/>
        <w:rPr>
          <w:rFonts w:ascii="Palatino Linotype" w:hAnsi="Palatino Linotype" w:cs="Arial"/>
          <w:bCs/>
          <w:i/>
          <w:color w:val="000000" w:themeColor="text1"/>
        </w:rPr>
      </w:pPr>
      <w:r w:rsidRPr="00B50274">
        <w:rPr>
          <w:rFonts w:ascii="Palatino Linotype" w:hAnsi="Palatino Linotype" w:cs="Arial"/>
          <w:bCs/>
          <w:i/>
          <w:color w:val="000000" w:themeColor="text1"/>
        </w:rPr>
        <w:t xml:space="preserve">II. </w:t>
      </w:r>
      <w:r w:rsidRPr="00B50274">
        <w:rPr>
          <w:rFonts w:ascii="Palatino Linotype" w:hAnsi="Palatino Linotype" w:cs="Arial"/>
          <w:i/>
          <w:color w:val="000000" w:themeColor="text1"/>
        </w:rPr>
        <w:t>Por Ley tenga el carácter de pública;</w:t>
      </w:r>
    </w:p>
    <w:p w:rsidR="003D02D4" w:rsidRPr="00B50274" w:rsidRDefault="003D02D4" w:rsidP="003D02D4">
      <w:pPr>
        <w:spacing w:after="120" w:line="360" w:lineRule="auto"/>
        <w:ind w:left="851" w:right="758"/>
        <w:contextualSpacing/>
        <w:jc w:val="both"/>
        <w:rPr>
          <w:rFonts w:ascii="Palatino Linotype" w:hAnsi="Palatino Linotype" w:cs="Arial"/>
          <w:i/>
          <w:color w:val="000000" w:themeColor="text1"/>
        </w:rPr>
      </w:pPr>
      <w:r w:rsidRPr="00B50274">
        <w:rPr>
          <w:rFonts w:ascii="Palatino Linotype" w:hAnsi="Palatino Linotype" w:cs="Arial"/>
          <w:bCs/>
          <w:i/>
          <w:color w:val="000000" w:themeColor="text1"/>
        </w:rPr>
        <w:t xml:space="preserve">III. </w:t>
      </w:r>
      <w:r w:rsidRPr="00B50274">
        <w:rPr>
          <w:rFonts w:ascii="Palatino Linotype" w:hAnsi="Palatino Linotype" w:cs="Arial"/>
          <w:i/>
          <w:color w:val="000000" w:themeColor="text1"/>
        </w:rPr>
        <w:t xml:space="preserve">Exista una orden judicial; </w:t>
      </w:r>
    </w:p>
    <w:p w:rsidR="003D02D4" w:rsidRPr="00B50274" w:rsidRDefault="003D02D4" w:rsidP="003D02D4">
      <w:pPr>
        <w:spacing w:after="120" w:line="360" w:lineRule="auto"/>
        <w:ind w:left="851" w:right="758"/>
        <w:contextualSpacing/>
        <w:jc w:val="both"/>
        <w:rPr>
          <w:rFonts w:ascii="Palatino Linotype" w:hAnsi="Palatino Linotype" w:cs="Arial"/>
          <w:i/>
          <w:color w:val="000000" w:themeColor="text1"/>
        </w:rPr>
      </w:pPr>
      <w:r w:rsidRPr="00B50274">
        <w:rPr>
          <w:rFonts w:ascii="Palatino Linotype" w:hAnsi="Palatino Linotype" w:cs="Arial"/>
          <w:bCs/>
          <w:i/>
          <w:color w:val="000000" w:themeColor="text1"/>
        </w:rPr>
        <w:t xml:space="preserve">IV. </w:t>
      </w:r>
      <w:r w:rsidRPr="00B50274">
        <w:rPr>
          <w:rFonts w:ascii="Palatino Linotype" w:hAnsi="Palatino Linotype" w:cs="Arial"/>
          <w:i/>
          <w:color w:val="000000" w:themeColor="text1"/>
        </w:rPr>
        <w:t xml:space="preserve">Por razones de seguridad pública, o para proteger los derechos de terceros, se requiera su publicación; o </w:t>
      </w:r>
    </w:p>
    <w:p w:rsidR="003D02D4" w:rsidRPr="00B50274" w:rsidRDefault="003D02D4" w:rsidP="003D02D4">
      <w:pPr>
        <w:spacing w:after="120" w:line="360" w:lineRule="auto"/>
        <w:ind w:left="851" w:right="758"/>
        <w:contextualSpacing/>
        <w:jc w:val="both"/>
        <w:rPr>
          <w:rFonts w:ascii="Palatino Linotype" w:hAnsi="Palatino Linotype" w:cs="Arial"/>
          <w:i/>
          <w:color w:val="000000" w:themeColor="text1"/>
        </w:rPr>
      </w:pPr>
      <w:r w:rsidRPr="00B50274">
        <w:rPr>
          <w:rFonts w:ascii="Palatino Linotype" w:hAnsi="Palatino Linotype" w:cs="Arial"/>
          <w:bCs/>
          <w:i/>
          <w:color w:val="000000" w:themeColor="text1"/>
        </w:rPr>
        <w:t xml:space="preserve">V. </w:t>
      </w:r>
      <w:r w:rsidRPr="00B50274">
        <w:rPr>
          <w:rFonts w:ascii="Palatino Linotype" w:hAnsi="Palatino Linotype" w:cs="Arial"/>
          <w:i/>
          <w:color w:val="000000" w:themeColor="text1"/>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rsidR="003D02D4" w:rsidRPr="00B50274" w:rsidRDefault="003D02D4" w:rsidP="003D02D4">
      <w:pPr>
        <w:spacing w:after="120" w:line="360" w:lineRule="auto"/>
        <w:ind w:left="426" w:right="49"/>
        <w:contextualSpacing/>
        <w:jc w:val="both"/>
        <w:rPr>
          <w:rFonts w:ascii="Palatino Linotype" w:hAnsi="Palatino Linotype" w:cs="Arial"/>
          <w:color w:val="000000" w:themeColor="text1"/>
        </w:rPr>
      </w:pPr>
    </w:p>
    <w:p w:rsidR="003D02D4" w:rsidRPr="00B50274" w:rsidRDefault="003D02D4" w:rsidP="003D02D4">
      <w:pPr>
        <w:numPr>
          <w:ilvl w:val="0"/>
          <w:numId w:val="2"/>
        </w:numPr>
        <w:spacing w:after="120" w:line="360" w:lineRule="auto"/>
        <w:ind w:left="426" w:right="49" w:hanging="426"/>
        <w:contextualSpacing/>
        <w:jc w:val="both"/>
        <w:rPr>
          <w:rFonts w:ascii="Palatino Linotype" w:hAnsi="Palatino Linotype" w:cs="Arial"/>
          <w:color w:val="000000" w:themeColor="text1"/>
          <w:sz w:val="24"/>
        </w:rPr>
      </w:pPr>
      <w:r w:rsidRPr="00B50274">
        <w:rPr>
          <w:rFonts w:ascii="Palatino Linotype" w:hAnsi="Palatino Linotype" w:cs="Arial"/>
          <w:color w:val="000000" w:themeColor="text1"/>
          <w:sz w:val="24"/>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3D02D4" w:rsidRPr="00B50274" w:rsidRDefault="003D02D4" w:rsidP="003D02D4">
      <w:pPr>
        <w:spacing w:after="120" w:line="360" w:lineRule="auto"/>
        <w:ind w:left="426" w:right="49"/>
        <w:contextualSpacing/>
        <w:jc w:val="both"/>
        <w:rPr>
          <w:rFonts w:ascii="Palatino Linotype" w:hAnsi="Palatino Linotype" w:cs="Arial"/>
          <w:color w:val="000000" w:themeColor="text1"/>
        </w:rPr>
      </w:pPr>
    </w:p>
    <w:p w:rsidR="003D02D4" w:rsidRPr="00B50274" w:rsidRDefault="003D02D4" w:rsidP="003D02D4">
      <w:pPr>
        <w:numPr>
          <w:ilvl w:val="0"/>
          <w:numId w:val="2"/>
        </w:numPr>
        <w:spacing w:after="120" w:line="360" w:lineRule="auto"/>
        <w:ind w:left="426" w:right="49" w:hanging="426"/>
        <w:jc w:val="both"/>
        <w:rPr>
          <w:rFonts w:ascii="Palatino Linotype" w:eastAsia="MS Mincho" w:hAnsi="Palatino Linotype" w:cstheme="majorBidi"/>
          <w:sz w:val="24"/>
        </w:rPr>
      </w:pPr>
      <w:r w:rsidRPr="00B50274">
        <w:rPr>
          <w:rFonts w:ascii="Palatino Linotype" w:hAnsi="Palatino Linotype" w:cs="Arial"/>
          <w:color w:val="000000" w:themeColor="text1"/>
          <w:sz w:val="24"/>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rsidR="003D02D4" w:rsidRPr="00B50274" w:rsidRDefault="003D02D4" w:rsidP="003D02D4">
      <w:pPr>
        <w:rPr>
          <w:rFonts w:ascii="Palatino Linotype" w:hAnsi="Palatino Linotype" w:cs="Arial"/>
          <w:lang w:eastAsia="es-MX"/>
        </w:rPr>
      </w:pPr>
    </w:p>
    <w:p w:rsidR="00C45D02" w:rsidRPr="00B50274" w:rsidRDefault="00C45D02" w:rsidP="00C45D02">
      <w:pPr>
        <w:pStyle w:val="Ttulo1"/>
        <w:rPr>
          <w:rFonts w:eastAsia="MS Gothic"/>
          <w:b/>
          <w:szCs w:val="24"/>
          <w:lang w:val="es-ES_tradnl" w:eastAsia="es-ES"/>
        </w:rPr>
      </w:pPr>
      <w:bookmarkStart w:id="16" w:name="_Toc506483766"/>
      <w:bookmarkStart w:id="17" w:name="_Toc521603651"/>
      <w:r w:rsidRPr="00B50274">
        <w:rPr>
          <w:rFonts w:eastAsia="MS Gothic"/>
          <w:b/>
          <w:szCs w:val="24"/>
          <w:lang w:val="es-ES_tradnl" w:eastAsia="es-ES"/>
        </w:rPr>
        <w:t>SEXTO. Acuerdo de la Declaratoria de Inexistencia.</w:t>
      </w:r>
      <w:bookmarkEnd w:id="16"/>
      <w:bookmarkEnd w:id="17"/>
      <w:r w:rsidRPr="00B50274">
        <w:rPr>
          <w:rFonts w:eastAsia="MS Gothic"/>
          <w:b/>
          <w:szCs w:val="24"/>
          <w:lang w:val="es-ES_tradnl" w:eastAsia="es-ES"/>
        </w:rPr>
        <w:t xml:space="preserve">  </w:t>
      </w:r>
    </w:p>
    <w:p w:rsidR="00C45D02" w:rsidRPr="00B50274" w:rsidRDefault="00C45D02" w:rsidP="00C45D02">
      <w:pPr>
        <w:pStyle w:val="Prrafodelista"/>
        <w:numPr>
          <w:ilvl w:val="0"/>
          <w:numId w:val="2"/>
        </w:numPr>
        <w:spacing w:before="100" w:beforeAutospacing="1" w:after="100" w:afterAutospacing="1" w:line="360" w:lineRule="auto"/>
        <w:ind w:left="284"/>
        <w:jc w:val="both"/>
        <w:rPr>
          <w:rFonts w:ascii="Palatino Linotype" w:hAnsi="Palatino Linotype" w:cs="Segoe UI"/>
          <w:sz w:val="24"/>
          <w:szCs w:val="24"/>
        </w:rPr>
      </w:pPr>
      <w:r w:rsidRPr="00B50274">
        <w:rPr>
          <w:rFonts w:ascii="Palatino Linotype" w:hAnsi="Palatino Linotype" w:cs="Segoe UI"/>
          <w:sz w:val="24"/>
          <w:szCs w:val="24"/>
        </w:rPr>
        <w:t xml:space="preserve">Derivado de que, como se dijo, pudiera ser el caso que el Sujeto Obligado no cuente con la información de la que se ordena su entrega conforme el </w:t>
      </w:r>
      <w:r w:rsidRPr="00B50274">
        <w:rPr>
          <w:rFonts w:ascii="Palatino Linotype" w:hAnsi="Palatino Linotype" w:cs="Segoe UI"/>
          <w:sz w:val="24"/>
          <w:szCs w:val="24"/>
        </w:rPr>
        <w:lastRenderedPageBreak/>
        <w:t>Considerando Cuarto</w:t>
      </w:r>
      <w:r w:rsidR="00054B44" w:rsidRPr="00B50274">
        <w:rPr>
          <w:rFonts w:ascii="Palatino Linotype" w:hAnsi="Palatino Linotype" w:cs="Segoe UI"/>
          <w:sz w:val="24"/>
          <w:szCs w:val="24"/>
        </w:rPr>
        <w:t xml:space="preserve">, esto es,  </w:t>
      </w:r>
      <w:r w:rsidR="00054B44" w:rsidRPr="00B50274">
        <w:rPr>
          <w:rFonts w:ascii="Palatino Linotype" w:eastAsia="Times New Roman" w:hAnsi="Palatino Linotype" w:cs="Arial"/>
          <w:sz w:val="24"/>
          <w:lang w:val="es-ES"/>
        </w:rPr>
        <w:t xml:space="preserve">conste o se aprecien los documentos que el Órgano Superior de Fiscalización del Estado de Mixco (OSFEM) solicitó al Municipio de </w:t>
      </w:r>
      <w:proofErr w:type="spellStart"/>
      <w:r w:rsidR="00054B44" w:rsidRPr="00B50274">
        <w:rPr>
          <w:rFonts w:ascii="Palatino Linotype" w:eastAsia="Times New Roman" w:hAnsi="Palatino Linotype" w:cs="Arial"/>
          <w:sz w:val="24"/>
          <w:lang w:val="es-ES"/>
        </w:rPr>
        <w:t>Xonacatlán</w:t>
      </w:r>
      <w:proofErr w:type="spellEnd"/>
      <w:r w:rsidR="00054B44" w:rsidRPr="00B50274">
        <w:rPr>
          <w:rFonts w:ascii="Palatino Linotype" w:eastAsia="Times New Roman" w:hAnsi="Palatino Linotype" w:cs="Arial"/>
          <w:sz w:val="24"/>
          <w:lang w:val="es-ES"/>
        </w:rPr>
        <w:t xml:space="preserve"> por concepto de requerimiento y pago de la responsabilidad administrativa resarcitoria determinada en el expediente en cita</w:t>
      </w:r>
      <w:r w:rsidRPr="00B50274">
        <w:rPr>
          <w:rFonts w:ascii="Palatino Linotype" w:hAnsi="Palatino Linotype" w:cs="Segoe UI"/>
          <w:sz w:val="24"/>
          <w:szCs w:val="24"/>
        </w:rPr>
        <w:t>, deberá elaborar el acuerdo que contenga la declaratoria de la inexistencia respectiva.</w:t>
      </w:r>
    </w:p>
    <w:p w:rsidR="00C45D02" w:rsidRPr="00B50274" w:rsidRDefault="00C45D02" w:rsidP="00C45D02">
      <w:pPr>
        <w:pStyle w:val="Prrafodelista"/>
        <w:spacing w:before="100" w:beforeAutospacing="1" w:after="100" w:afterAutospacing="1" w:line="360" w:lineRule="auto"/>
        <w:ind w:left="284"/>
        <w:jc w:val="both"/>
        <w:rPr>
          <w:rFonts w:ascii="Palatino Linotype" w:hAnsi="Palatino Linotype" w:cs="Segoe UI"/>
          <w:sz w:val="24"/>
          <w:szCs w:val="24"/>
        </w:rPr>
      </w:pPr>
    </w:p>
    <w:p w:rsidR="00C45D02" w:rsidRPr="00B50274" w:rsidRDefault="00C45D02" w:rsidP="00C45D02">
      <w:pPr>
        <w:pStyle w:val="Prrafodelista"/>
        <w:numPr>
          <w:ilvl w:val="0"/>
          <w:numId w:val="2"/>
        </w:numPr>
        <w:spacing w:before="100" w:beforeAutospacing="1" w:after="100" w:afterAutospacing="1" w:line="360" w:lineRule="auto"/>
        <w:ind w:left="284"/>
        <w:jc w:val="both"/>
        <w:rPr>
          <w:rFonts w:ascii="Palatino Linotype" w:hAnsi="Palatino Linotype" w:cs="Segoe UI"/>
          <w:sz w:val="24"/>
          <w:szCs w:val="24"/>
        </w:rPr>
      </w:pPr>
      <w:r w:rsidRPr="00B50274">
        <w:rPr>
          <w:rFonts w:ascii="Palatino Linotype" w:hAnsi="Palatino Linotype" w:cs="Segoe UI"/>
          <w:sz w:val="24"/>
          <w:szCs w:val="24"/>
        </w:rPr>
        <w:t>En tal caso, la declaratoria deberá realizarse conforme a lo dispuesto en los artículos 19, 49, fracciones II y XIII, 169 y 170 de la Ley de Transparencia y Acceso a la Información Pública del Estado de México y Municipios, que establecen la forma en que los Sujetos Obligados deben dar curso a las Declaratorias de Inexistencia; preceptos que se transcriben a continuación:</w:t>
      </w:r>
    </w:p>
    <w:p w:rsidR="00C45D02" w:rsidRPr="00B50274" w:rsidRDefault="00C45D02" w:rsidP="00C45D02">
      <w:pPr>
        <w:shd w:val="clear" w:color="auto" w:fill="FFFFFF"/>
        <w:spacing w:before="240" w:after="240"/>
        <w:ind w:left="567"/>
        <w:jc w:val="both"/>
        <w:rPr>
          <w:rFonts w:ascii="Georgia" w:eastAsia="Times New Roman" w:hAnsi="Georgia"/>
          <w:sz w:val="24"/>
          <w:szCs w:val="24"/>
          <w:lang w:eastAsia="es-MX"/>
        </w:rPr>
      </w:pPr>
      <w:r w:rsidRPr="00B50274">
        <w:rPr>
          <w:rFonts w:ascii="Palatino Linotype" w:eastAsia="Times New Roman" w:hAnsi="Palatino Linotype"/>
          <w:b/>
          <w:bCs/>
          <w:i/>
          <w:iCs/>
          <w:sz w:val="24"/>
          <w:szCs w:val="24"/>
          <w:lang w:eastAsia="es-MX"/>
        </w:rPr>
        <w:t>“Artículo 19. </w:t>
      </w:r>
      <w:r w:rsidRPr="00B50274">
        <w:rPr>
          <w:rFonts w:ascii="Palatino Linotype" w:eastAsia="Times New Roman" w:hAnsi="Palatino Linotype"/>
          <w:i/>
          <w:iCs/>
          <w:sz w:val="24"/>
          <w:szCs w:val="24"/>
          <w:u w:val="single"/>
          <w:lang w:eastAsia="es-MX"/>
        </w:rPr>
        <w:t>Se presume que la información debe existir si se refiere a las facultades, competencias y funciones que los ordenamientos jurídicos aplicables otorgan a los sujetos obligados. </w:t>
      </w:r>
    </w:p>
    <w:p w:rsidR="00C45D02" w:rsidRPr="00B50274" w:rsidRDefault="00C45D02" w:rsidP="00C45D02">
      <w:pPr>
        <w:shd w:val="clear" w:color="auto" w:fill="FFFFFF"/>
        <w:spacing w:before="240" w:after="240"/>
        <w:ind w:left="567"/>
        <w:jc w:val="both"/>
        <w:rPr>
          <w:rFonts w:ascii="Georgia" w:eastAsia="Times New Roman" w:hAnsi="Georgia"/>
          <w:sz w:val="24"/>
          <w:szCs w:val="24"/>
          <w:lang w:eastAsia="es-MX"/>
        </w:rPr>
      </w:pPr>
      <w:r w:rsidRPr="00B50274">
        <w:rPr>
          <w:rFonts w:ascii="Palatino Linotype" w:eastAsia="Times New Roman" w:hAnsi="Palatino Linotype"/>
          <w:i/>
          <w:iCs/>
          <w:sz w:val="24"/>
          <w:szCs w:val="24"/>
          <w:lang w:eastAsia="es-MX"/>
        </w:rPr>
        <w:t>…</w:t>
      </w:r>
    </w:p>
    <w:p w:rsidR="00C45D02" w:rsidRPr="00B50274" w:rsidRDefault="00C45D02" w:rsidP="00C45D02">
      <w:pPr>
        <w:shd w:val="clear" w:color="auto" w:fill="FFFFFF"/>
        <w:spacing w:before="240" w:after="240"/>
        <w:ind w:left="567"/>
        <w:jc w:val="both"/>
        <w:rPr>
          <w:rFonts w:ascii="Georgia" w:eastAsia="Times New Roman" w:hAnsi="Georgia"/>
          <w:sz w:val="24"/>
          <w:szCs w:val="24"/>
          <w:lang w:eastAsia="es-MX"/>
        </w:rPr>
      </w:pPr>
      <w:r w:rsidRPr="00B50274">
        <w:rPr>
          <w:rFonts w:ascii="Palatino Linotype" w:eastAsia="Times New Roman" w:hAnsi="Palatino Linotype"/>
          <w:i/>
          <w:iCs/>
          <w:sz w:val="24"/>
          <w:szCs w:val="24"/>
          <w:lang w:eastAsia="es-MX"/>
        </w:rPr>
        <w:t>Si el sujeto obligado, en el ejercicio de sus atribuciones, debía generar, poseer o administrar la información, pero ésta no se encuentra, </w:t>
      </w:r>
      <w:r w:rsidRPr="00B50274">
        <w:rPr>
          <w:rFonts w:ascii="Palatino Linotype" w:eastAsia="Times New Roman" w:hAnsi="Palatino Linotype"/>
          <w:i/>
          <w:iCs/>
          <w:sz w:val="24"/>
          <w:szCs w:val="24"/>
          <w:u w:val="single"/>
          <w:lang w:eastAsia="es-MX"/>
        </w:rPr>
        <w:t>el Comité de transparencia deberá emitir un acuerdo de inexistencia, debidamente fundado y motivado, en el que detalle las razones del por qué no obra en sus archivos.</w:t>
      </w:r>
    </w:p>
    <w:p w:rsidR="00C45D02" w:rsidRPr="00B50274" w:rsidRDefault="00C45D02" w:rsidP="00C45D02">
      <w:pPr>
        <w:shd w:val="clear" w:color="auto" w:fill="FFFFFF"/>
        <w:spacing w:before="240" w:after="240"/>
        <w:ind w:left="567"/>
        <w:jc w:val="both"/>
        <w:rPr>
          <w:rFonts w:ascii="Georgia" w:eastAsia="Times New Roman" w:hAnsi="Georgia"/>
          <w:sz w:val="24"/>
          <w:szCs w:val="24"/>
          <w:lang w:eastAsia="es-MX"/>
        </w:rPr>
      </w:pPr>
      <w:r w:rsidRPr="00B50274">
        <w:rPr>
          <w:rFonts w:ascii="Palatino Linotype" w:eastAsia="Times New Roman" w:hAnsi="Palatino Linotype"/>
          <w:b/>
          <w:bCs/>
          <w:i/>
          <w:iCs/>
          <w:sz w:val="24"/>
          <w:szCs w:val="24"/>
          <w:lang w:eastAsia="es-MX"/>
        </w:rPr>
        <w:t>Artículo 49.</w:t>
      </w:r>
      <w:r w:rsidRPr="00B50274">
        <w:rPr>
          <w:rFonts w:ascii="Palatino Linotype" w:eastAsia="Times New Roman" w:hAnsi="Palatino Linotype"/>
          <w:i/>
          <w:iCs/>
          <w:sz w:val="24"/>
          <w:szCs w:val="24"/>
          <w:lang w:eastAsia="es-MX"/>
        </w:rPr>
        <w:t> Los </w:t>
      </w:r>
      <w:r w:rsidRPr="00B50274">
        <w:rPr>
          <w:rFonts w:ascii="Palatino Linotype" w:eastAsia="Times New Roman" w:hAnsi="Palatino Linotype"/>
          <w:i/>
          <w:iCs/>
          <w:sz w:val="24"/>
          <w:szCs w:val="24"/>
          <w:u w:val="single"/>
          <w:lang w:eastAsia="es-MX"/>
        </w:rPr>
        <w:t>Comités de Transparencia</w:t>
      </w:r>
      <w:r w:rsidRPr="00B50274">
        <w:rPr>
          <w:rFonts w:ascii="Palatino Linotype" w:eastAsia="Times New Roman" w:hAnsi="Palatino Linotype"/>
          <w:i/>
          <w:iCs/>
          <w:sz w:val="24"/>
          <w:szCs w:val="24"/>
          <w:lang w:eastAsia="es-MX"/>
        </w:rPr>
        <w:t> tendrán las siguientes atribuciones:</w:t>
      </w:r>
    </w:p>
    <w:p w:rsidR="00C45D02" w:rsidRPr="00B50274" w:rsidRDefault="00C45D02" w:rsidP="00C45D02">
      <w:pPr>
        <w:shd w:val="clear" w:color="auto" w:fill="FFFFFF"/>
        <w:spacing w:before="240" w:after="240"/>
        <w:ind w:left="567"/>
        <w:jc w:val="both"/>
        <w:rPr>
          <w:rFonts w:ascii="Georgia" w:eastAsia="Times New Roman" w:hAnsi="Georgia"/>
          <w:sz w:val="24"/>
          <w:szCs w:val="24"/>
          <w:lang w:eastAsia="es-MX"/>
        </w:rPr>
      </w:pPr>
      <w:r w:rsidRPr="00B50274">
        <w:rPr>
          <w:rFonts w:ascii="Palatino Linotype" w:eastAsia="Times New Roman" w:hAnsi="Palatino Linotype"/>
          <w:i/>
          <w:iCs/>
          <w:sz w:val="24"/>
          <w:szCs w:val="24"/>
          <w:lang w:eastAsia="es-MX"/>
        </w:rPr>
        <w:t>…</w:t>
      </w:r>
    </w:p>
    <w:p w:rsidR="00C45D02" w:rsidRPr="00B50274" w:rsidRDefault="00C45D02" w:rsidP="00C45D02">
      <w:pPr>
        <w:spacing w:before="240" w:after="240"/>
        <w:ind w:left="567"/>
        <w:jc w:val="both"/>
        <w:rPr>
          <w:rFonts w:ascii="Palatino Linotype" w:hAnsi="Palatino Linotype" w:cs="Arial"/>
          <w:i/>
          <w:sz w:val="24"/>
          <w:szCs w:val="24"/>
        </w:rPr>
      </w:pPr>
      <w:r w:rsidRPr="00B50274">
        <w:rPr>
          <w:rFonts w:ascii="Palatino Linotype" w:hAnsi="Palatino Linotype" w:cs="Arial"/>
          <w:i/>
          <w:sz w:val="24"/>
          <w:szCs w:val="24"/>
        </w:rPr>
        <w:t>II. Confirmar, modificar o revocar las determinaciones que en materia de ampliación del plazo de respuesta, clasificación de la información</w:t>
      </w:r>
      <w:r w:rsidRPr="00B50274">
        <w:rPr>
          <w:rFonts w:ascii="Palatino Linotype" w:hAnsi="Palatino Linotype" w:cs="Arial"/>
          <w:i/>
          <w:sz w:val="24"/>
          <w:szCs w:val="24"/>
          <w:u w:val="single"/>
        </w:rPr>
        <w:t xml:space="preserve"> y declaración de inexistencia </w:t>
      </w:r>
      <w:r w:rsidRPr="00B50274">
        <w:rPr>
          <w:rFonts w:ascii="Palatino Linotype" w:hAnsi="Palatino Linotype" w:cs="Arial"/>
          <w:i/>
          <w:sz w:val="24"/>
          <w:szCs w:val="24"/>
        </w:rPr>
        <w:t>o de incompetencia realicen los titulares de las áreas de los sujetos obligados;</w:t>
      </w:r>
    </w:p>
    <w:p w:rsidR="00C45D02" w:rsidRPr="00B50274" w:rsidRDefault="00C45D02" w:rsidP="00C45D02">
      <w:pPr>
        <w:spacing w:before="240" w:after="240"/>
        <w:ind w:left="567"/>
        <w:jc w:val="both"/>
        <w:rPr>
          <w:rFonts w:ascii="Palatino Linotype" w:hAnsi="Palatino Linotype" w:cs="Arial"/>
          <w:i/>
          <w:sz w:val="24"/>
          <w:szCs w:val="24"/>
        </w:rPr>
      </w:pPr>
      <w:r w:rsidRPr="00B50274">
        <w:rPr>
          <w:rFonts w:ascii="Palatino Linotype" w:hAnsi="Palatino Linotype" w:cs="Arial"/>
          <w:i/>
          <w:sz w:val="24"/>
          <w:szCs w:val="24"/>
        </w:rPr>
        <w:lastRenderedPageBreak/>
        <w:t>…</w:t>
      </w:r>
    </w:p>
    <w:p w:rsidR="00C45D02" w:rsidRPr="00B50274" w:rsidRDefault="00C45D02" w:rsidP="00C45D02">
      <w:pPr>
        <w:spacing w:before="240" w:after="240"/>
        <w:ind w:left="567"/>
        <w:jc w:val="both"/>
        <w:rPr>
          <w:rFonts w:ascii="Palatino Linotype" w:hAnsi="Palatino Linotype" w:cs="Arial"/>
          <w:i/>
          <w:sz w:val="24"/>
          <w:szCs w:val="24"/>
        </w:rPr>
      </w:pPr>
      <w:r w:rsidRPr="00B50274">
        <w:rPr>
          <w:rFonts w:ascii="Palatino Linotype" w:hAnsi="Palatino Linotype" w:cs="Arial"/>
          <w:i/>
          <w:sz w:val="24"/>
          <w:szCs w:val="24"/>
        </w:rPr>
        <w:t>XIII. </w:t>
      </w:r>
      <w:r w:rsidRPr="00B50274">
        <w:rPr>
          <w:rFonts w:ascii="Palatino Linotype" w:hAnsi="Palatino Linotype" w:cs="Arial"/>
          <w:i/>
          <w:sz w:val="24"/>
          <w:szCs w:val="24"/>
          <w:u w:val="single"/>
        </w:rPr>
        <w:t>Dictaminar las declaratorias de inexistencia de la información que les remitan las unidades administrativas y resolver en consecuencia</w:t>
      </w:r>
      <w:r w:rsidRPr="00B50274">
        <w:rPr>
          <w:rFonts w:ascii="Palatino Linotype" w:hAnsi="Palatino Linotype" w:cs="Arial"/>
          <w:i/>
          <w:sz w:val="24"/>
          <w:szCs w:val="24"/>
        </w:rPr>
        <w:t>;</w:t>
      </w:r>
    </w:p>
    <w:p w:rsidR="00C45D02" w:rsidRPr="00B50274" w:rsidRDefault="00C45D02" w:rsidP="00C45D02">
      <w:pPr>
        <w:spacing w:before="240" w:after="240"/>
        <w:ind w:left="567"/>
        <w:jc w:val="both"/>
        <w:rPr>
          <w:rFonts w:ascii="Palatino Linotype" w:hAnsi="Palatino Linotype" w:cs="Arial"/>
          <w:i/>
          <w:sz w:val="24"/>
          <w:szCs w:val="24"/>
        </w:rPr>
      </w:pPr>
      <w:r w:rsidRPr="00B50274">
        <w:rPr>
          <w:rFonts w:ascii="Palatino Linotype" w:hAnsi="Palatino Linotype" w:cs="Arial"/>
          <w:i/>
          <w:sz w:val="24"/>
          <w:szCs w:val="24"/>
        </w:rPr>
        <w:t>…</w:t>
      </w:r>
    </w:p>
    <w:p w:rsidR="00C45D02" w:rsidRPr="00B50274" w:rsidRDefault="00C45D02" w:rsidP="00C45D02">
      <w:pPr>
        <w:spacing w:before="240" w:after="240"/>
        <w:ind w:left="567"/>
        <w:jc w:val="both"/>
        <w:rPr>
          <w:rFonts w:ascii="Palatino Linotype" w:hAnsi="Palatino Linotype" w:cs="Arial"/>
          <w:b/>
          <w:i/>
          <w:sz w:val="24"/>
          <w:szCs w:val="24"/>
        </w:rPr>
      </w:pPr>
      <w:r w:rsidRPr="00B50274">
        <w:rPr>
          <w:rFonts w:ascii="Palatino Linotype" w:hAnsi="Palatino Linotype" w:cs="Arial"/>
          <w:b/>
          <w:bCs/>
          <w:i/>
          <w:sz w:val="24"/>
          <w:szCs w:val="24"/>
        </w:rPr>
        <w:t xml:space="preserve">I. </w:t>
      </w:r>
      <w:r w:rsidRPr="00B50274">
        <w:rPr>
          <w:rFonts w:ascii="Palatino Linotype" w:hAnsi="Palatino Linotype" w:cs="Arial"/>
          <w:i/>
          <w:sz w:val="24"/>
          <w:szCs w:val="24"/>
          <w:u w:val="single"/>
        </w:rPr>
        <w:t>Analizará el caso y tomará las medidas necesarias para localizar la información;</w:t>
      </w:r>
    </w:p>
    <w:p w:rsidR="00C45D02" w:rsidRPr="00B50274" w:rsidRDefault="00C45D02" w:rsidP="00C45D02">
      <w:pPr>
        <w:spacing w:before="240" w:after="240"/>
        <w:ind w:left="567"/>
        <w:jc w:val="both"/>
        <w:rPr>
          <w:rFonts w:ascii="Palatino Linotype" w:hAnsi="Palatino Linotype" w:cs="Arial"/>
          <w:b/>
          <w:i/>
          <w:sz w:val="24"/>
          <w:szCs w:val="24"/>
        </w:rPr>
      </w:pPr>
      <w:r w:rsidRPr="00B50274">
        <w:rPr>
          <w:rFonts w:ascii="Palatino Linotype" w:hAnsi="Palatino Linotype" w:cs="Arial"/>
          <w:b/>
          <w:bCs/>
          <w:i/>
          <w:sz w:val="24"/>
          <w:szCs w:val="24"/>
        </w:rPr>
        <w:t xml:space="preserve">II. </w:t>
      </w:r>
      <w:r w:rsidRPr="00B50274">
        <w:rPr>
          <w:rFonts w:ascii="Palatino Linotype" w:hAnsi="Palatino Linotype" w:cs="Arial"/>
          <w:i/>
          <w:sz w:val="24"/>
          <w:szCs w:val="24"/>
          <w:u w:val="single"/>
        </w:rPr>
        <w:t>Expedirá una resolución que confirme la inexistencia del documento;</w:t>
      </w:r>
    </w:p>
    <w:p w:rsidR="00C45D02" w:rsidRPr="00B50274" w:rsidRDefault="00C45D02" w:rsidP="00C45D02">
      <w:pPr>
        <w:spacing w:before="240" w:after="240"/>
        <w:ind w:left="567"/>
        <w:jc w:val="both"/>
        <w:rPr>
          <w:rFonts w:ascii="Palatino Linotype" w:hAnsi="Palatino Linotype" w:cs="Arial"/>
          <w:b/>
          <w:i/>
          <w:sz w:val="24"/>
          <w:szCs w:val="24"/>
        </w:rPr>
      </w:pPr>
      <w:r w:rsidRPr="00B50274">
        <w:rPr>
          <w:rFonts w:ascii="Palatino Linotype" w:hAnsi="Palatino Linotype" w:cs="Arial"/>
          <w:b/>
          <w:bCs/>
          <w:i/>
          <w:sz w:val="24"/>
          <w:szCs w:val="24"/>
        </w:rPr>
        <w:t xml:space="preserve">III. </w:t>
      </w:r>
      <w:r w:rsidRPr="00B50274">
        <w:rPr>
          <w:rFonts w:ascii="Palatino Linotype" w:hAnsi="Palatino Linotype" w:cs="Arial"/>
          <w:i/>
          <w:sz w:val="24"/>
          <w:szCs w:val="24"/>
          <w:u w:val="single"/>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C45D02" w:rsidRPr="00B50274" w:rsidRDefault="00C45D02" w:rsidP="00C45D02">
      <w:pPr>
        <w:spacing w:before="240" w:after="240"/>
        <w:ind w:left="567"/>
        <w:jc w:val="both"/>
        <w:rPr>
          <w:rFonts w:ascii="Palatino Linotype" w:hAnsi="Palatino Linotype" w:cs="Arial"/>
          <w:i/>
          <w:sz w:val="24"/>
          <w:szCs w:val="24"/>
          <w:u w:val="single"/>
        </w:rPr>
      </w:pPr>
      <w:r w:rsidRPr="00B50274">
        <w:rPr>
          <w:rFonts w:ascii="Palatino Linotype" w:hAnsi="Palatino Linotype" w:cs="Arial"/>
          <w:b/>
          <w:bCs/>
          <w:i/>
          <w:sz w:val="24"/>
          <w:szCs w:val="24"/>
        </w:rPr>
        <w:t xml:space="preserve">IV. </w:t>
      </w:r>
      <w:r w:rsidRPr="00B50274">
        <w:rPr>
          <w:rFonts w:ascii="Palatino Linotype" w:hAnsi="Palatino Linotype" w:cs="Arial"/>
          <w:i/>
          <w:sz w:val="24"/>
          <w:szCs w:val="24"/>
          <w:u w:val="single"/>
        </w:rPr>
        <w:t>Notificará al órgano interno de control o equivalente del sujeto obligado quien, en su caso, deberá iniciar el procedimiento de responsabilidad administrativa que corresponda.</w:t>
      </w:r>
    </w:p>
    <w:p w:rsidR="00C45D02" w:rsidRPr="00B50274" w:rsidRDefault="00C45D02" w:rsidP="00C45D02">
      <w:pPr>
        <w:spacing w:before="240" w:after="240"/>
        <w:ind w:left="567"/>
        <w:jc w:val="both"/>
        <w:rPr>
          <w:rFonts w:ascii="Palatino Linotype" w:hAnsi="Palatino Linotype" w:cs="Arial"/>
          <w:i/>
          <w:sz w:val="24"/>
          <w:szCs w:val="24"/>
          <w:u w:val="single"/>
        </w:rPr>
      </w:pPr>
      <w:r w:rsidRPr="00B50274">
        <w:rPr>
          <w:rFonts w:ascii="Palatino Linotype" w:hAnsi="Palatino Linotype" w:cs="Arial"/>
          <w:i/>
          <w:sz w:val="24"/>
          <w:szCs w:val="24"/>
          <w:u w:val="single"/>
        </w:rPr>
        <w:t>La Unidad de Transparencia deberá notificarlo al solicitante por escrito, en un plazo que no exceda de quince días hábiles contados a partir del día siguiente a la presentación de la solicitud.</w:t>
      </w:r>
    </w:p>
    <w:p w:rsidR="00C45D02" w:rsidRPr="00B50274" w:rsidRDefault="00C45D02" w:rsidP="00C45D02">
      <w:pPr>
        <w:spacing w:before="240" w:after="240"/>
        <w:ind w:left="567"/>
        <w:jc w:val="both"/>
        <w:rPr>
          <w:rFonts w:ascii="Palatino Linotype" w:hAnsi="Palatino Linotype" w:cs="Arial"/>
          <w:i/>
          <w:sz w:val="24"/>
          <w:szCs w:val="24"/>
          <w:u w:val="single"/>
        </w:rPr>
      </w:pPr>
      <w:r w:rsidRPr="00B50274">
        <w:rPr>
          <w:rFonts w:ascii="Palatino Linotype" w:hAnsi="Palatino Linotype" w:cs="Arial"/>
          <w:i/>
          <w:sz w:val="24"/>
          <w:szCs w:val="24"/>
          <w:u w:val="single"/>
        </w:rPr>
        <w:t>Este plazo podrá ampliarse hasta por otros siete días hábiles, siempre que existan razones para ello, debiendo notificarse por escrito al solicitante.</w:t>
      </w:r>
    </w:p>
    <w:p w:rsidR="00C45D02" w:rsidRPr="00B50274" w:rsidRDefault="00C45D02" w:rsidP="00C45D02">
      <w:pPr>
        <w:spacing w:before="240" w:after="240"/>
        <w:ind w:left="567"/>
        <w:jc w:val="both"/>
        <w:rPr>
          <w:rFonts w:ascii="Georgia" w:eastAsia="Times New Roman" w:hAnsi="Georgia"/>
          <w:sz w:val="24"/>
          <w:szCs w:val="24"/>
          <w:lang w:eastAsia="es-MX"/>
        </w:rPr>
      </w:pPr>
      <w:r w:rsidRPr="00B50274">
        <w:rPr>
          <w:rFonts w:ascii="Palatino Linotype" w:hAnsi="Palatino Linotype" w:cs="Arial"/>
          <w:b/>
          <w:i/>
          <w:sz w:val="24"/>
          <w:szCs w:val="24"/>
        </w:rPr>
        <w:t>Artículo 170</w:t>
      </w:r>
      <w:r w:rsidRPr="00B50274">
        <w:rPr>
          <w:rFonts w:ascii="Palatino Linotype" w:eastAsia="Times New Roman" w:hAnsi="Palatino Linotype"/>
          <w:b/>
          <w:bCs/>
          <w:i/>
          <w:iCs/>
          <w:sz w:val="24"/>
          <w:szCs w:val="24"/>
          <w:lang w:eastAsia="es-MX"/>
        </w:rPr>
        <w:t>.</w:t>
      </w:r>
      <w:r w:rsidRPr="00B50274">
        <w:rPr>
          <w:rFonts w:ascii="Palatino Linotype" w:eastAsia="Times New Roman" w:hAnsi="Palatino Linotype"/>
          <w:i/>
          <w:iCs/>
          <w:sz w:val="24"/>
          <w:szCs w:val="24"/>
          <w:lang w:eastAsia="es-MX"/>
        </w:rPr>
        <w:t> </w:t>
      </w:r>
      <w:r w:rsidRPr="00B50274">
        <w:rPr>
          <w:rFonts w:ascii="Palatino Linotype" w:eastAsia="Times New Roman" w:hAnsi="Palatino Linotype"/>
          <w:i/>
          <w:iCs/>
          <w:sz w:val="24"/>
          <w:szCs w:val="24"/>
          <w:u w:val="single"/>
          <w:lang w:eastAsia="es-MX"/>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B50274">
        <w:rPr>
          <w:rFonts w:ascii="Palatino Linotype" w:eastAsia="Times New Roman" w:hAnsi="Palatino Linotype"/>
          <w:i/>
          <w:iCs/>
          <w:sz w:val="24"/>
          <w:szCs w:val="24"/>
          <w:lang w:eastAsia="es-MX"/>
        </w:rPr>
        <w:t>”</w:t>
      </w:r>
    </w:p>
    <w:p w:rsidR="00C45D02" w:rsidRPr="00B50274" w:rsidRDefault="00C45D02" w:rsidP="00C45D02">
      <w:pPr>
        <w:shd w:val="clear" w:color="auto" w:fill="FFFFFF"/>
        <w:spacing w:before="240" w:after="240"/>
        <w:ind w:left="567"/>
        <w:jc w:val="both"/>
        <w:rPr>
          <w:rFonts w:ascii="Georgia" w:eastAsia="Times New Roman" w:hAnsi="Georgia"/>
          <w:sz w:val="24"/>
          <w:szCs w:val="24"/>
          <w:lang w:eastAsia="es-MX"/>
        </w:rPr>
      </w:pPr>
      <w:r w:rsidRPr="00B50274">
        <w:rPr>
          <w:rFonts w:ascii="Palatino Linotype" w:eastAsia="Times New Roman" w:hAnsi="Palatino Linotype"/>
          <w:sz w:val="24"/>
          <w:szCs w:val="24"/>
          <w:lang w:eastAsia="es-MX"/>
        </w:rPr>
        <w:t>(Énfasis añadido)</w:t>
      </w:r>
    </w:p>
    <w:p w:rsidR="00C45D02" w:rsidRPr="00B50274" w:rsidRDefault="00C45D02" w:rsidP="00C45D02">
      <w:pPr>
        <w:pStyle w:val="Prrafodelista"/>
        <w:numPr>
          <w:ilvl w:val="0"/>
          <w:numId w:val="2"/>
        </w:numPr>
        <w:shd w:val="clear" w:color="auto" w:fill="FFFFFF"/>
        <w:spacing w:before="240" w:after="240" w:line="360" w:lineRule="auto"/>
        <w:ind w:left="284"/>
        <w:jc w:val="both"/>
        <w:rPr>
          <w:rFonts w:ascii="Georgia" w:eastAsia="Times New Roman" w:hAnsi="Georgia"/>
          <w:sz w:val="24"/>
          <w:szCs w:val="24"/>
          <w:lang w:eastAsia="es-MX"/>
        </w:rPr>
      </w:pPr>
      <w:r w:rsidRPr="00B50274">
        <w:rPr>
          <w:rFonts w:ascii="Palatino Linotype" w:eastAsia="Times New Roman" w:hAnsi="Palatino Linotype"/>
          <w:sz w:val="24"/>
          <w:szCs w:val="24"/>
          <w:lang w:eastAsia="es-MX"/>
        </w:rPr>
        <w:lastRenderedPageBreak/>
        <w:t xml:space="preserve">En observancia a lo anterior, </w:t>
      </w:r>
      <w:r w:rsidRPr="00B50274">
        <w:rPr>
          <w:rFonts w:ascii="Palatino Linotype" w:hAnsi="Palatino Linotype" w:cs="Arial"/>
        </w:rPr>
        <w:t xml:space="preserve">debe aplicarse lo establecido en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en su numeral CUARENTA Y CUATRO, así como, CUARENTA Y CINCO, además, que </w:t>
      </w:r>
      <w:r w:rsidRPr="00B50274">
        <w:rPr>
          <w:rFonts w:ascii="Palatino Linotype" w:eastAsia="Times New Roman" w:hAnsi="Palatino Linotype"/>
          <w:sz w:val="24"/>
          <w:szCs w:val="24"/>
          <w:lang w:eastAsia="es-MX"/>
        </w:rPr>
        <w:t>resultan aplicables los criterios de interpretación en el orden administrativo número 0003-11 y 004-11 emitidos por Acuerdo del Pleno del Instituto de Transparencia y Acceso a la Información Pública del Estado de México y Municipios, que a la letra dicen:</w:t>
      </w:r>
    </w:p>
    <w:p w:rsidR="00C45D02" w:rsidRPr="00B50274" w:rsidRDefault="00C45D02" w:rsidP="00C45D02">
      <w:pPr>
        <w:spacing w:before="240" w:after="240"/>
        <w:ind w:left="567"/>
        <w:jc w:val="both"/>
        <w:rPr>
          <w:rFonts w:ascii="Palatino Linotype" w:hAnsi="Palatino Linotype" w:cs="Arial"/>
          <w:b/>
          <w:i/>
          <w:sz w:val="24"/>
          <w:szCs w:val="24"/>
        </w:rPr>
      </w:pPr>
      <w:r w:rsidRPr="00B50274">
        <w:rPr>
          <w:rFonts w:ascii="Palatino Linotype" w:hAnsi="Palatino Linotype" w:cs="Arial"/>
          <w:i/>
          <w:sz w:val="24"/>
          <w:szCs w:val="24"/>
        </w:rPr>
        <w:t>“</w:t>
      </w:r>
      <w:r w:rsidRPr="00B50274">
        <w:rPr>
          <w:rFonts w:ascii="Palatino Linotype" w:hAnsi="Palatino Linotype" w:cs="Arial"/>
          <w:b/>
          <w:i/>
          <w:sz w:val="24"/>
          <w:szCs w:val="24"/>
        </w:rPr>
        <w:t>CRITERIO 003-11. </w:t>
      </w:r>
    </w:p>
    <w:p w:rsidR="00C45D02" w:rsidRPr="00B50274" w:rsidRDefault="00C45D02" w:rsidP="00C45D02">
      <w:pPr>
        <w:spacing w:before="240" w:after="240"/>
        <w:ind w:left="567"/>
        <w:jc w:val="both"/>
        <w:rPr>
          <w:rFonts w:ascii="Palatino Linotype" w:hAnsi="Palatino Linotype" w:cs="Arial"/>
          <w:i/>
          <w:sz w:val="24"/>
          <w:szCs w:val="24"/>
          <w:u w:val="single"/>
        </w:rPr>
      </w:pPr>
      <w:r w:rsidRPr="00B50274">
        <w:rPr>
          <w:rFonts w:ascii="Palatino Linotype" w:hAnsi="Palatino Linotype" w:cs="Arial"/>
          <w:b/>
          <w:i/>
          <w:sz w:val="24"/>
          <w:szCs w:val="24"/>
        </w:rPr>
        <w:t>INEXISTENCIA, CONCEPTO DE, EN MATERIA DE TRANSPARENCIA</w:t>
      </w:r>
      <w:r w:rsidRPr="00B50274">
        <w:rPr>
          <w:rFonts w:ascii="Palatino Linotype" w:hAnsi="Palatino Linotype" w:cs="Arial"/>
          <w:i/>
          <w:sz w:val="24"/>
          <w:szCs w:val="24"/>
        </w:rPr>
        <w:t>. La interpretación sistemática de los artículos 29 y 30, fracción VIII, de la Ley de Transparencia y Acceso a la Información Pública del Estado de México y Municipios, permite concluir que la inexistencia de la </w:t>
      </w:r>
      <w:r w:rsidRPr="00B50274">
        <w:rPr>
          <w:rFonts w:ascii="Palatino Linotype" w:hAnsi="Palatino Linotype" w:cs="Arial"/>
          <w:i/>
          <w:sz w:val="24"/>
          <w:szCs w:val="24"/>
          <w:u w:val="single"/>
        </w:rPr>
        <w:t>información</w:t>
      </w:r>
      <w:r w:rsidRPr="00B50274">
        <w:rPr>
          <w:rFonts w:ascii="Palatino Linotype" w:hAnsi="Palatino Linotype" w:cs="Arial"/>
          <w:i/>
          <w:sz w:val="24"/>
          <w:szCs w:val="24"/>
        </w:rPr>
        <w:t> en el derecho de acceso a la información pública </w:t>
      </w:r>
      <w:r w:rsidRPr="00B50274">
        <w:rPr>
          <w:rFonts w:ascii="Palatino Linotype" w:hAnsi="Palatino Linotype" w:cs="Arial"/>
          <w:i/>
          <w:sz w:val="24"/>
          <w:szCs w:val="24"/>
          <w:u w:val="single"/>
        </w:rPr>
        <w:t>conlleva necesariamente a los siguientes supuestos:</w:t>
      </w:r>
    </w:p>
    <w:p w:rsidR="00C45D02" w:rsidRPr="00B50274" w:rsidRDefault="00C45D02" w:rsidP="00C45D02">
      <w:pPr>
        <w:spacing w:before="240" w:after="240"/>
        <w:ind w:left="567"/>
        <w:jc w:val="both"/>
        <w:rPr>
          <w:rFonts w:ascii="Palatino Linotype" w:hAnsi="Palatino Linotype" w:cs="Arial"/>
          <w:i/>
          <w:sz w:val="24"/>
          <w:szCs w:val="24"/>
        </w:rPr>
      </w:pPr>
      <w:r w:rsidRPr="00B50274">
        <w:rPr>
          <w:rFonts w:ascii="Palatino Linotype" w:hAnsi="Palatino Linotype" w:cs="Arial"/>
          <w:i/>
          <w:sz w:val="24"/>
          <w:szCs w:val="24"/>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rsidR="00C45D02" w:rsidRPr="00B50274" w:rsidRDefault="00C45D02" w:rsidP="00C45D02">
      <w:pPr>
        <w:spacing w:before="240" w:after="240"/>
        <w:ind w:left="567"/>
        <w:jc w:val="both"/>
        <w:rPr>
          <w:rFonts w:ascii="Palatino Linotype" w:hAnsi="Palatino Linotype" w:cs="Arial"/>
          <w:i/>
          <w:sz w:val="24"/>
          <w:szCs w:val="24"/>
        </w:rPr>
      </w:pPr>
      <w:r w:rsidRPr="00B50274">
        <w:rPr>
          <w:rFonts w:ascii="Palatino Linotype" w:hAnsi="Palatino Linotype" w:cs="Arial"/>
          <w:i/>
          <w:sz w:val="24"/>
          <w:szCs w:val="24"/>
        </w:rPr>
        <w:t>b) </w:t>
      </w:r>
      <w:r w:rsidRPr="00B50274">
        <w:rPr>
          <w:rFonts w:ascii="Palatino Linotype" w:hAnsi="Palatino Linotype" w:cs="Arial"/>
          <w:i/>
          <w:sz w:val="24"/>
          <w:szCs w:val="24"/>
          <w:u w:val="single"/>
        </w:rPr>
        <w:t xml:space="preserve">En los casos en que por las atribuciones conferidas al Sujeto Obligado éste debió generar, administrar o poseer la información, pero en incumplimiento a la normatividad respectiva no llevó a cabo </w:t>
      </w:r>
      <w:proofErr w:type="gramStart"/>
      <w:r w:rsidRPr="00B50274">
        <w:rPr>
          <w:rFonts w:ascii="Palatino Linotype" w:hAnsi="Palatino Linotype" w:cs="Arial"/>
          <w:i/>
          <w:sz w:val="24"/>
          <w:szCs w:val="24"/>
          <w:u w:val="single"/>
        </w:rPr>
        <w:t>ninguna</w:t>
      </w:r>
      <w:proofErr w:type="gramEnd"/>
      <w:r w:rsidRPr="00B50274">
        <w:rPr>
          <w:rFonts w:ascii="Palatino Linotype" w:hAnsi="Palatino Linotype" w:cs="Arial"/>
          <w:i/>
          <w:sz w:val="24"/>
          <w:szCs w:val="24"/>
          <w:u w:val="single"/>
        </w:rPr>
        <w:t xml:space="preserve"> de esas acciones</w:t>
      </w:r>
      <w:r w:rsidRPr="00B50274">
        <w:rPr>
          <w:rFonts w:ascii="Palatino Linotype" w:hAnsi="Palatino Linotype" w:cs="Arial"/>
          <w:i/>
          <w:sz w:val="24"/>
          <w:szCs w:val="24"/>
        </w:rPr>
        <w:t>.</w:t>
      </w:r>
    </w:p>
    <w:p w:rsidR="00C45D02" w:rsidRPr="00B50274" w:rsidRDefault="00C45D02" w:rsidP="00C45D02">
      <w:pPr>
        <w:spacing w:before="240" w:after="240"/>
        <w:ind w:left="567"/>
        <w:jc w:val="both"/>
        <w:rPr>
          <w:rFonts w:ascii="Palatino Linotype" w:hAnsi="Palatino Linotype" w:cs="Arial"/>
          <w:i/>
          <w:sz w:val="24"/>
          <w:szCs w:val="24"/>
        </w:rPr>
      </w:pPr>
      <w:r w:rsidRPr="00B50274">
        <w:rPr>
          <w:rFonts w:ascii="Palatino Linotype" w:hAnsi="Palatino Linotype" w:cs="Arial"/>
          <w:i/>
          <w:sz w:val="24"/>
          <w:szCs w:val="24"/>
        </w:rPr>
        <w:lastRenderedPageBreak/>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C45D02" w:rsidRPr="00B50274" w:rsidRDefault="00C45D02" w:rsidP="00C45D02">
      <w:pPr>
        <w:spacing w:before="240" w:after="240"/>
        <w:ind w:left="567"/>
        <w:jc w:val="both"/>
        <w:rPr>
          <w:rFonts w:ascii="Palatino Linotype" w:hAnsi="Palatino Linotype" w:cs="Arial"/>
          <w:b/>
          <w:i/>
          <w:sz w:val="24"/>
          <w:szCs w:val="24"/>
        </w:rPr>
      </w:pPr>
      <w:r w:rsidRPr="00B50274">
        <w:rPr>
          <w:rFonts w:ascii="Palatino Linotype" w:hAnsi="Palatino Linotype" w:cs="Arial"/>
          <w:b/>
          <w:i/>
          <w:sz w:val="24"/>
          <w:szCs w:val="24"/>
        </w:rPr>
        <w:t>CRITERIO 004/2011</w:t>
      </w:r>
    </w:p>
    <w:p w:rsidR="00C45D02" w:rsidRPr="00B50274" w:rsidRDefault="00C45D02" w:rsidP="00C45D02">
      <w:pPr>
        <w:spacing w:before="240" w:after="240"/>
        <w:ind w:left="567"/>
        <w:jc w:val="both"/>
        <w:rPr>
          <w:rFonts w:ascii="Palatino Linotype" w:hAnsi="Palatino Linotype" w:cs="Arial"/>
          <w:i/>
          <w:sz w:val="24"/>
          <w:szCs w:val="24"/>
        </w:rPr>
      </w:pPr>
      <w:r w:rsidRPr="00B50274">
        <w:rPr>
          <w:rFonts w:ascii="Palatino Linotype" w:hAnsi="Palatino Linotype" w:cs="Arial"/>
          <w:b/>
          <w:i/>
          <w:sz w:val="24"/>
          <w:szCs w:val="24"/>
        </w:rPr>
        <w:t>INEXISTENCIA. DECLARATORIA DE LA. ALCANCES Y PROCEDIMIENTOS</w:t>
      </w:r>
      <w:r w:rsidRPr="00B50274">
        <w:rPr>
          <w:rFonts w:ascii="Palatino Linotype" w:hAnsi="Palatino Linotype" w:cs="Arial"/>
          <w:i/>
          <w:sz w:val="24"/>
          <w:szCs w:val="24"/>
        </w:rPr>
        <w:t>. De la interpretación de los artículos 29 y 30, fracción VIII, de la Ley de Transparencia y Acceso a la Información Pública del Estado de México y Municipios, se concluye </w:t>
      </w:r>
      <w:r w:rsidRPr="00B50274">
        <w:rPr>
          <w:rFonts w:ascii="Palatino Linotype" w:hAnsi="Palatino Linotype" w:cs="Arial"/>
          <w:i/>
          <w:sz w:val="24"/>
          <w:szCs w:val="24"/>
          <w:u w:val="single"/>
        </w:rPr>
        <w:t>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w:t>
      </w:r>
      <w:r w:rsidRPr="00B50274">
        <w:rPr>
          <w:rFonts w:ascii="Palatino Linotype" w:hAnsi="Palatino Linotype" w:cs="Arial"/>
          <w:i/>
          <w:sz w:val="24"/>
          <w:szCs w:val="24"/>
        </w:rPr>
        <w:t xml:space="preserve"> la cual tiene como propósito que el particular tenga la certeza jurídica de que el Sujeto Obligado realizó una búsqueda exhaustiva y minuciosa de la información en los archivos a cargo. En consecuencia, </w:t>
      </w:r>
      <w:r w:rsidRPr="00B50274">
        <w:rPr>
          <w:rFonts w:ascii="Palatino Linotype" w:hAnsi="Palatino Linotype" w:cs="Arial"/>
          <w:i/>
          <w:sz w:val="24"/>
          <w:szCs w:val="24"/>
          <w:u w:val="single"/>
        </w:rPr>
        <w:t>es deber del Comité de Información instruir una búsqueda exhaustiva a todas y cada una de las áreas que integran orgánica o funcionalmente al Sujeto Obligado, para localizar los documentos que contengan la información materia de una solicitud</w:t>
      </w:r>
      <w:r w:rsidRPr="00B50274">
        <w:rPr>
          <w:rFonts w:ascii="Palatino Linotype" w:hAnsi="Palatino Linotype" w:cs="Arial"/>
          <w:i/>
          <w:sz w:val="24"/>
          <w:szCs w:val="24"/>
        </w:rPr>
        <w:t>,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C45D02" w:rsidRPr="00B50274" w:rsidRDefault="00C45D02" w:rsidP="00C45D02">
      <w:pPr>
        <w:spacing w:before="240" w:after="240"/>
        <w:ind w:left="567"/>
        <w:jc w:val="both"/>
        <w:rPr>
          <w:rFonts w:ascii="Palatino Linotype" w:hAnsi="Palatino Linotype" w:cs="Arial"/>
          <w:i/>
          <w:sz w:val="24"/>
          <w:szCs w:val="24"/>
        </w:rPr>
      </w:pPr>
      <w:r w:rsidRPr="00B50274">
        <w:rPr>
          <w:rFonts w:ascii="Palatino Linotype" w:hAnsi="Palatino Linotype" w:cs="Arial"/>
          <w:i/>
          <w:sz w:val="24"/>
          <w:szCs w:val="24"/>
        </w:rPr>
        <w:t>Bajo el entendido de que dicha búsqueda exhaustiva permitirá dos determinaciones:</w:t>
      </w:r>
    </w:p>
    <w:p w:rsidR="00C45D02" w:rsidRPr="00B50274" w:rsidRDefault="00C45D02" w:rsidP="00C45D02">
      <w:pPr>
        <w:spacing w:before="240" w:after="240"/>
        <w:ind w:left="567"/>
        <w:jc w:val="both"/>
        <w:rPr>
          <w:rFonts w:ascii="Palatino Linotype" w:hAnsi="Palatino Linotype" w:cs="Arial"/>
          <w:i/>
          <w:sz w:val="24"/>
          <w:szCs w:val="24"/>
        </w:rPr>
      </w:pPr>
      <w:r w:rsidRPr="00B50274">
        <w:rPr>
          <w:rFonts w:ascii="Palatino Linotype" w:hAnsi="Palatino Linotype" w:cs="Arial"/>
          <w:i/>
          <w:sz w:val="24"/>
          <w:szCs w:val="24"/>
        </w:rPr>
        <w:t>a) Que se localice la documentación que contenga la información solicitada y de ser así la información pueda entregarse al solicitante en la forma en que se encuentra disponible, o</w:t>
      </w:r>
    </w:p>
    <w:p w:rsidR="00C45D02" w:rsidRPr="00B50274" w:rsidRDefault="00C45D02" w:rsidP="00C45D02">
      <w:pPr>
        <w:spacing w:before="240" w:after="240"/>
        <w:ind w:left="567"/>
        <w:jc w:val="both"/>
        <w:rPr>
          <w:rFonts w:ascii="Palatino Linotype" w:hAnsi="Palatino Linotype" w:cs="Arial"/>
          <w:i/>
          <w:sz w:val="24"/>
          <w:szCs w:val="24"/>
        </w:rPr>
      </w:pPr>
      <w:r w:rsidRPr="00B50274">
        <w:rPr>
          <w:rFonts w:ascii="Palatino Linotype" w:hAnsi="Palatino Linotype" w:cs="Arial"/>
          <w:i/>
          <w:sz w:val="24"/>
          <w:szCs w:val="24"/>
        </w:rPr>
        <w:t xml:space="preserve">b) </w:t>
      </w:r>
      <w:r w:rsidRPr="00B50274">
        <w:rPr>
          <w:rFonts w:ascii="Palatino Linotype" w:hAnsi="Palatino Linotype" w:cs="Arial"/>
          <w:i/>
          <w:sz w:val="24"/>
          <w:szCs w:val="24"/>
          <w:u w:val="single"/>
        </w:rPr>
        <w:t xml:space="preserve">Que no se haya encontrado documento alguno que contenga la información requerida, por lo que agotadas las medidas necesarias de búsqueda de la información y </w:t>
      </w:r>
      <w:r w:rsidRPr="00B50274">
        <w:rPr>
          <w:rFonts w:ascii="Palatino Linotype" w:hAnsi="Palatino Linotype" w:cs="Arial"/>
          <w:i/>
          <w:sz w:val="24"/>
          <w:szCs w:val="24"/>
          <w:u w:val="single"/>
        </w:rPr>
        <w:lastRenderedPageBreak/>
        <w:t>de no encontrarla, el Comité de Información deba emitir el dictamen de declaratoria de inexistencia y notificarlo al interesado</w:t>
      </w:r>
      <w:r w:rsidRPr="00B50274">
        <w:rPr>
          <w:rFonts w:ascii="Palatino Linotype" w:hAnsi="Palatino Linotype" w:cs="Arial"/>
          <w:i/>
          <w:sz w:val="24"/>
          <w:szCs w:val="24"/>
        </w:rPr>
        <w:t>.</w:t>
      </w:r>
    </w:p>
    <w:p w:rsidR="00C45D02" w:rsidRPr="00B50274" w:rsidRDefault="00C45D02" w:rsidP="00C45D02">
      <w:pPr>
        <w:spacing w:before="240" w:after="240"/>
        <w:ind w:left="567"/>
        <w:jc w:val="both"/>
        <w:rPr>
          <w:rFonts w:ascii="Palatino Linotype" w:hAnsi="Palatino Linotype" w:cs="Arial"/>
          <w:i/>
          <w:sz w:val="24"/>
          <w:szCs w:val="24"/>
        </w:rPr>
      </w:pPr>
      <w:r w:rsidRPr="00B50274">
        <w:rPr>
          <w:rFonts w:ascii="Palatino Linotype" w:hAnsi="Palatino Linotype" w:cs="Arial"/>
          <w:i/>
          <w:sz w:val="24"/>
          <w:szCs w:val="24"/>
          <w:u w:val="single"/>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r w:rsidRPr="00B50274">
        <w:rPr>
          <w:rFonts w:ascii="Palatino Linotype" w:hAnsi="Palatino Linotype" w:cs="Arial"/>
          <w:i/>
          <w:sz w:val="24"/>
          <w:szCs w:val="24"/>
        </w:rPr>
        <w:t>.”</w:t>
      </w:r>
    </w:p>
    <w:p w:rsidR="00C45D02" w:rsidRPr="00B50274" w:rsidRDefault="00C45D02" w:rsidP="00C45D02">
      <w:pPr>
        <w:spacing w:before="240" w:after="240"/>
        <w:ind w:left="567"/>
        <w:jc w:val="both"/>
        <w:rPr>
          <w:rFonts w:ascii="Palatino Linotype" w:hAnsi="Palatino Linotype" w:cs="Arial"/>
          <w:sz w:val="24"/>
          <w:szCs w:val="24"/>
        </w:rPr>
      </w:pPr>
      <w:r w:rsidRPr="00B50274">
        <w:rPr>
          <w:rFonts w:ascii="Palatino Linotype" w:hAnsi="Palatino Linotype" w:cs="Arial"/>
          <w:sz w:val="24"/>
          <w:szCs w:val="24"/>
        </w:rPr>
        <w:t>(Énfasis añadido)</w:t>
      </w:r>
    </w:p>
    <w:p w:rsidR="00C45D02" w:rsidRPr="00B50274" w:rsidRDefault="00C45D02" w:rsidP="003D02D4">
      <w:pPr>
        <w:numPr>
          <w:ilvl w:val="0"/>
          <w:numId w:val="2"/>
        </w:numPr>
        <w:spacing w:after="120" w:line="360" w:lineRule="auto"/>
        <w:ind w:left="426" w:right="49" w:hanging="426"/>
        <w:jc w:val="both"/>
        <w:rPr>
          <w:rFonts w:ascii="Palatino Linotype" w:hAnsi="Palatino Linotype" w:cs="Arial"/>
          <w:color w:val="000000" w:themeColor="text1"/>
          <w:sz w:val="24"/>
          <w:szCs w:val="24"/>
          <w:lang w:val="es-ES_tradnl"/>
        </w:rPr>
      </w:pPr>
      <w:r w:rsidRPr="00B50274">
        <w:rPr>
          <w:rFonts w:ascii="Palatino Linotype" w:hAnsi="Palatino Linotype" w:cs="Arial"/>
          <w:color w:val="000000" w:themeColor="text1"/>
          <w:sz w:val="24"/>
          <w:szCs w:val="24"/>
          <w:lang w:val="es-ES_tradnl"/>
        </w:rPr>
        <w:t>Bajo éste tenor se debe destacar que para que se declare la inexistencia de la información deberá de encuadrar en dos hipótesis, la primera de ellas corresponde a que en atribuciones, competencias o funciones del Sujeto Obligado debió de haber generado, administrado o poseído la información ordenada pero por algún motivo éste no cuenta con ella, el segundo supuesto corresponde a que debió haber existencia previa de la documentación y la falta posterior de la misma en los archivos del Sujeto Obligado, esto es que la información se generó, poseyó o administró en el marco de sus atribuciones, pero no la conserva por diversas razones (destrucción física, desaparición física, sustracción ilícita, baja documental, etcétera).</w:t>
      </w:r>
    </w:p>
    <w:p w:rsidR="003D02D4" w:rsidRPr="00B50274" w:rsidRDefault="003D02D4" w:rsidP="00914C75">
      <w:pPr>
        <w:numPr>
          <w:ilvl w:val="0"/>
          <w:numId w:val="2"/>
        </w:numPr>
        <w:spacing w:after="120" w:line="360" w:lineRule="auto"/>
        <w:ind w:right="49"/>
        <w:jc w:val="both"/>
        <w:rPr>
          <w:rFonts w:ascii="Palatino Linotype" w:hAnsi="Palatino Linotype" w:cs="Arial"/>
          <w:color w:val="000000" w:themeColor="text1"/>
          <w:sz w:val="24"/>
        </w:rPr>
      </w:pPr>
      <w:r w:rsidRPr="00B50274">
        <w:rPr>
          <w:rFonts w:ascii="Palatino Linotype" w:hAnsi="Palatino Linotype" w:cs="Arial"/>
          <w:color w:val="000000" w:themeColor="text1"/>
          <w:sz w:val="24"/>
        </w:rPr>
        <w:t xml:space="preserve">Consecuentemente, </w:t>
      </w:r>
      <w:r w:rsidR="00914C75" w:rsidRPr="00B50274">
        <w:rPr>
          <w:rFonts w:ascii="Palatino Linotype" w:hAnsi="Palatino Linotype" w:cs="Arial"/>
          <w:color w:val="000000" w:themeColor="text1"/>
          <w:sz w:val="24"/>
        </w:rPr>
        <w:t>en términos del artículo 179 fracciones I y X resultan fundadas las razones o motivos de inconformidad hechos valer por el recurrente en el recurso de revisión en merito, en razón de la entrega parcial de la información.</w:t>
      </w:r>
    </w:p>
    <w:p w:rsidR="003D02D4" w:rsidRPr="00B50274" w:rsidRDefault="00914C75" w:rsidP="00914C75">
      <w:pPr>
        <w:numPr>
          <w:ilvl w:val="0"/>
          <w:numId w:val="2"/>
        </w:numPr>
        <w:spacing w:after="120" w:line="360" w:lineRule="auto"/>
        <w:ind w:right="49"/>
        <w:jc w:val="both"/>
        <w:rPr>
          <w:rFonts w:ascii="Palatino Linotype" w:hAnsi="Palatino Linotype" w:cs="Arial"/>
          <w:color w:val="000000" w:themeColor="text1"/>
          <w:sz w:val="24"/>
        </w:rPr>
      </w:pPr>
      <w:r w:rsidRPr="00B50274">
        <w:rPr>
          <w:rFonts w:ascii="Palatino Linotype" w:hAnsi="Palatino Linotype" w:cs="Arial"/>
          <w:color w:val="000000" w:themeColor="text1"/>
          <w:sz w:val="24"/>
        </w:rPr>
        <w:t xml:space="preserve">Una vez precisado lo anterior, este Pleno determina </w:t>
      </w:r>
      <w:r w:rsidRPr="00B50274">
        <w:rPr>
          <w:rFonts w:ascii="Palatino Linotype" w:hAnsi="Palatino Linotype" w:cs="Arial"/>
          <w:b/>
          <w:color w:val="000000" w:themeColor="text1"/>
          <w:sz w:val="24"/>
        </w:rPr>
        <w:t>REVOCAR</w:t>
      </w:r>
      <w:r w:rsidRPr="00B50274">
        <w:rPr>
          <w:rFonts w:ascii="Palatino Linotype" w:hAnsi="Palatino Linotype" w:cs="Arial"/>
          <w:color w:val="000000" w:themeColor="text1"/>
          <w:sz w:val="24"/>
        </w:rPr>
        <w:t xml:space="preserve"> la respuesta del Sujeto Obligado y </w:t>
      </w:r>
      <w:r w:rsidRPr="00B50274">
        <w:rPr>
          <w:rFonts w:ascii="Palatino Linotype" w:hAnsi="Palatino Linotype" w:cs="Arial"/>
          <w:b/>
          <w:color w:val="000000" w:themeColor="text1"/>
          <w:sz w:val="24"/>
        </w:rPr>
        <w:t>ORDENAR</w:t>
      </w:r>
      <w:r w:rsidRPr="00B50274">
        <w:rPr>
          <w:rFonts w:ascii="Palatino Linotype" w:hAnsi="Palatino Linotype" w:cs="Arial"/>
          <w:color w:val="000000" w:themeColor="text1"/>
          <w:sz w:val="24"/>
        </w:rPr>
        <w:t xml:space="preserve"> la entrega en versión publica del o los </w:t>
      </w:r>
      <w:r w:rsidRPr="00B50274">
        <w:rPr>
          <w:rFonts w:ascii="Palatino Linotype" w:hAnsi="Palatino Linotype" w:cs="Arial"/>
          <w:color w:val="000000" w:themeColor="text1"/>
          <w:sz w:val="24"/>
        </w:rPr>
        <w:lastRenderedPageBreak/>
        <w:t xml:space="preserve">documentos donde se aprecie o consten el expediente OSFEM/UAJ/PAR-IM/294/13, la Resolución emitida en el expediente RR-PAR/370/14 y su acumulado RR-PAR/371/14 y sus respectivas constancias de notificación; la sentencia dictada en el juicio de amparo 1900/2015 y la sentencia del amparo en revisión 165/2016, y el o los documentos donde conste o se aprecien los documentos que el Órgano Superior de Fiscalización del Estado de Mixco (OSFEM) solicitó al Municipio de </w:t>
      </w:r>
      <w:proofErr w:type="spellStart"/>
      <w:r w:rsidRPr="00B50274">
        <w:rPr>
          <w:rFonts w:ascii="Palatino Linotype" w:hAnsi="Palatino Linotype" w:cs="Arial"/>
          <w:color w:val="000000" w:themeColor="text1"/>
          <w:sz w:val="24"/>
        </w:rPr>
        <w:t>Xonacatlán</w:t>
      </w:r>
      <w:proofErr w:type="spellEnd"/>
      <w:r w:rsidRPr="00B50274">
        <w:rPr>
          <w:rFonts w:ascii="Palatino Linotype" w:hAnsi="Palatino Linotype" w:cs="Arial"/>
          <w:color w:val="000000" w:themeColor="text1"/>
          <w:sz w:val="24"/>
        </w:rPr>
        <w:t xml:space="preserve"> por concepto de requerimiento y pago de la responsabilidad administrativa resarcitoria determinada en el expediente OSFEM/UAJ/PAR-IM/294/13.</w:t>
      </w:r>
    </w:p>
    <w:p w:rsidR="00B97110" w:rsidRPr="00B50274" w:rsidRDefault="00B97110" w:rsidP="00B97110">
      <w:pPr>
        <w:spacing w:after="120" w:line="360" w:lineRule="auto"/>
        <w:ind w:left="360" w:right="49"/>
        <w:jc w:val="both"/>
        <w:rPr>
          <w:rFonts w:ascii="Palatino Linotype" w:hAnsi="Palatino Linotype" w:cs="Arial"/>
          <w:color w:val="000000" w:themeColor="text1"/>
          <w:sz w:val="24"/>
        </w:rPr>
      </w:pPr>
    </w:p>
    <w:p w:rsidR="003D02D4" w:rsidRPr="00B50274" w:rsidRDefault="003D02D4" w:rsidP="003D02D4">
      <w:pPr>
        <w:pStyle w:val="Prrafodelista"/>
        <w:numPr>
          <w:ilvl w:val="0"/>
          <w:numId w:val="2"/>
        </w:numPr>
        <w:spacing w:after="0" w:line="360" w:lineRule="auto"/>
        <w:ind w:left="284"/>
        <w:jc w:val="both"/>
        <w:rPr>
          <w:rFonts w:ascii="Palatino Linotype" w:hAnsi="Palatino Linotype" w:cs="Arial"/>
          <w:i/>
          <w:sz w:val="24"/>
        </w:rPr>
      </w:pPr>
      <w:r w:rsidRPr="00B50274">
        <w:rPr>
          <w:rFonts w:ascii="Palatino Linotype" w:hAnsi="Palatino Linotype" w:cs="Arial"/>
          <w:sz w:val="24"/>
        </w:rPr>
        <w:t>Así, con fundamento en lo prescrito en los artículos 5 párrafos vigésimo, vigésimo primero y vigésimo segundo de la Constitución Política del Estado Libre y Soberano de México; 2, fracción II; 29, 36 fracciones I y II; 176, 178, 181, 185 de la Ley de Transparencia y Acceso a la Información Pública del Estado de México y Municipios, este Pleno emite los siguientes:</w:t>
      </w:r>
    </w:p>
    <w:p w:rsidR="00EA6E86" w:rsidRPr="00B50274" w:rsidRDefault="00914E9A" w:rsidP="00EA6E86">
      <w:pPr>
        <w:pStyle w:val="Prrafodelista"/>
        <w:rPr>
          <w:rFonts w:ascii="Palatino Linotype" w:hAnsi="Palatino Linotype" w:cs="Arial"/>
          <w:i/>
          <w:sz w:val="24"/>
        </w:rPr>
      </w:pPr>
      <w:r w:rsidRPr="00B50274">
        <w:rPr>
          <w:rFonts w:ascii="Palatino Linotype" w:hAnsi="Palatino Linotype" w:cs="Arial"/>
          <w:i/>
          <w:noProof/>
          <w:sz w:val="24"/>
          <w:lang w:eastAsia="es-MX"/>
        </w:rPr>
        <mc:AlternateContent>
          <mc:Choice Requires="wps">
            <w:drawing>
              <wp:anchor distT="0" distB="0" distL="114300" distR="114300" simplePos="0" relativeHeight="251659264" behindDoc="0" locked="0" layoutInCell="1" allowOverlap="1">
                <wp:simplePos x="0" y="0"/>
                <wp:positionH relativeFrom="column">
                  <wp:posOffset>215264</wp:posOffset>
                </wp:positionH>
                <wp:positionV relativeFrom="paragraph">
                  <wp:posOffset>158749</wp:posOffset>
                </wp:positionV>
                <wp:extent cx="5267325" cy="2657475"/>
                <wp:effectExtent l="0" t="0" r="28575" b="28575"/>
                <wp:wrapNone/>
                <wp:docPr id="4" name="Conector recto 4"/>
                <wp:cNvGraphicFramePr/>
                <a:graphic xmlns:a="http://schemas.openxmlformats.org/drawingml/2006/main">
                  <a:graphicData uri="http://schemas.microsoft.com/office/word/2010/wordprocessingShape">
                    <wps:wsp>
                      <wps:cNvCnPr/>
                      <wps:spPr>
                        <a:xfrm>
                          <a:off x="0" y="0"/>
                          <a:ext cx="5267325" cy="26574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BEFE15" id="Conector recto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6.95pt,12.5pt" to="431.7pt,2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" strokecolor="#5b9bd5 [3204]" strokeweight=".5pt">
                <v:stroke joinstyle="miter"/>
              </v:line>
            </w:pict>
          </mc:Fallback>
        </mc:AlternateContent>
      </w:r>
    </w:p>
    <w:p w:rsidR="00EA6E86" w:rsidRPr="00B50274" w:rsidRDefault="00EA6E86" w:rsidP="00EA6E86">
      <w:pPr>
        <w:spacing w:after="0" w:line="360" w:lineRule="auto"/>
        <w:jc w:val="both"/>
        <w:rPr>
          <w:rFonts w:ascii="Palatino Linotype" w:hAnsi="Palatino Linotype" w:cs="Arial"/>
          <w:i/>
          <w:sz w:val="24"/>
        </w:rPr>
      </w:pPr>
    </w:p>
    <w:p w:rsidR="00EA6E86" w:rsidRPr="00B50274" w:rsidRDefault="00EA6E86" w:rsidP="00EA6E86">
      <w:pPr>
        <w:spacing w:after="0" w:line="360" w:lineRule="auto"/>
        <w:jc w:val="both"/>
        <w:rPr>
          <w:rFonts w:ascii="Palatino Linotype" w:hAnsi="Palatino Linotype" w:cs="Arial"/>
          <w:i/>
          <w:sz w:val="24"/>
        </w:rPr>
      </w:pPr>
    </w:p>
    <w:p w:rsidR="00EA6E86" w:rsidRPr="00B50274" w:rsidRDefault="00EA6E86" w:rsidP="00EA6E86">
      <w:pPr>
        <w:spacing w:after="0" w:line="360" w:lineRule="auto"/>
        <w:jc w:val="both"/>
        <w:rPr>
          <w:rFonts w:ascii="Palatino Linotype" w:hAnsi="Palatino Linotype" w:cs="Arial"/>
          <w:i/>
          <w:sz w:val="24"/>
        </w:rPr>
      </w:pPr>
    </w:p>
    <w:p w:rsidR="00EA6E86" w:rsidRPr="00B50274" w:rsidRDefault="00EA6E86" w:rsidP="00EA6E86">
      <w:pPr>
        <w:spacing w:after="0" w:line="360" w:lineRule="auto"/>
        <w:jc w:val="both"/>
        <w:rPr>
          <w:rFonts w:ascii="Palatino Linotype" w:hAnsi="Palatino Linotype" w:cs="Arial"/>
          <w:i/>
          <w:sz w:val="24"/>
        </w:rPr>
      </w:pPr>
    </w:p>
    <w:p w:rsidR="00DC5377" w:rsidRPr="00B50274" w:rsidRDefault="00DC5377" w:rsidP="00EA6E86">
      <w:pPr>
        <w:spacing w:after="0" w:line="360" w:lineRule="auto"/>
        <w:jc w:val="both"/>
        <w:rPr>
          <w:rFonts w:ascii="Palatino Linotype" w:hAnsi="Palatino Linotype" w:cs="Arial"/>
          <w:i/>
          <w:sz w:val="24"/>
        </w:rPr>
      </w:pPr>
    </w:p>
    <w:p w:rsidR="00DC5377" w:rsidRPr="00B50274" w:rsidRDefault="00DC5377" w:rsidP="00EA6E86">
      <w:pPr>
        <w:spacing w:after="0" w:line="360" w:lineRule="auto"/>
        <w:jc w:val="both"/>
        <w:rPr>
          <w:rFonts w:ascii="Palatino Linotype" w:hAnsi="Palatino Linotype" w:cs="Arial"/>
          <w:i/>
          <w:sz w:val="24"/>
        </w:rPr>
      </w:pPr>
    </w:p>
    <w:p w:rsidR="00DC5377" w:rsidRPr="00B50274" w:rsidRDefault="00DC5377" w:rsidP="00EA6E86">
      <w:pPr>
        <w:spacing w:after="0" w:line="360" w:lineRule="auto"/>
        <w:jc w:val="both"/>
        <w:rPr>
          <w:rFonts w:ascii="Palatino Linotype" w:hAnsi="Palatino Linotype" w:cs="Arial"/>
          <w:i/>
          <w:sz w:val="24"/>
        </w:rPr>
      </w:pPr>
    </w:p>
    <w:p w:rsidR="00DC5377" w:rsidRPr="00B50274" w:rsidRDefault="00DC5377" w:rsidP="00EA6E86">
      <w:pPr>
        <w:spacing w:after="0" w:line="360" w:lineRule="auto"/>
        <w:jc w:val="both"/>
        <w:rPr>
          <w:rFonts w:ascii="Palatino Linotype" w:hAnsi="Palatino Linotype" w:cs="Arial"/>
          <w:i/>
          <w:sz w:val="24"/>
        </w:rPr>
      </w:pPr>
    </w:p>
    <w:p w:rsidR="003D02D4" w:rsidRPr="00B50274" w:rsidRDefault="003D02D4" w:rsidP="003D02D4">
      <w:pPr>
        <w:pStyle w:val="Ttulo1"/>
        <w:jc w:val="center"/>
        <w:rPr>
          <w:b/>
        </w:rPr>
      </w:pPr>
      <w:bookmarkStart w:id="18" w:name="_Toc511234456"/>
      <w:bookmarkStart w:id="19" w:name="_Toc519166207"/>
      <w:bookmarkStart w:id="20" w:name="_Toc521603652"/>
      <w:r w:rsidRPr="00B50274">
        <w:rPr>
          <w:b/>
        </w:rPr>
        <w:lastRenderedPageBreak/>
        <w:t>R E S O L U T I V O S</w:t>
      </w:r>
      <w:bookmarkEnd w:id="18"/>
      <w:bookmarkEnd w:id="19"/>
      <w:bookmarkEnd w:id="20"/>
    </w:p>
    <w:p w:rsidR="003D02D4" w:rsidRPr="00B50274" w:rsidRDefault="003D02D4" w:rsidP="003D02D4">
      <w:pPr>
        <w:spacing w:line="360" w:lineRule="auto"/>
        <w:jc w:val="both"/>
        <w:rPr>
          <w:rFonts w:ascii="Palatino Linotype" w:eastAsia="Times New Roman" w:hAnsi="Palatino Linotype" w:cs="Times New Roman"/>
          <w:sz w:val="24"/>
        </w:rPr>
      </w:pPr>
      <w:r w:rsidRPr="00B50274">
        <w:rPr>
          <w:rFonts w:ascii="Palatino Linotype" w:eastAsia="Times New Roman" w:hAnsi="Palatino Linotype" w:cs="Arial"/>
          <w:b/>
          <w:sz w:val="24"/>
        </w:rPr>
        <w:t xml:space="preserve">PRIMERO. </w:t>
      </w:r>
      <w:r w:rsidRPr="00B50274">
        <w:rPr>
          <w:rFonts w:ascii="Palatino Linotype" w:eastAsia="Times New Roman" w:hAnsi="Palatino Linotype" w:cs="Arial"/>
          <w:sz w:val="24"/>
        </w:rPr>
        <w:t>Son fundadas las</w:t>
      </w:r>
      <w:r w:rsidRPr="00B50274">
        <w:rPr>
          <w:rFonts w:ascii="Palatino Linotype" w:eastAsia="Times New Roman" w:hAnsi="Palatino Linotype" w:cs="Arial"/>
          <w:b/>
          <w:sz w:val="24"/>
        </w:rPr>
        <w:t xml:space="preserve"> </w:t>
      </w:r>
      <w:r w:rsidRPr="00B50274">
        <w:rPr>
          <w:rFonts w:ascii="Palatino Linotype" w:eastAsia="Times New Roman" w:hAnsi="Palatino Linotype" w:cs="Arial"/>
          <w:sz w:val="24"/>
        </w:rPr>
        <w:t xml:space="preserve">razones o motivos de inconformidad hechos valer por </w:t>
      </w:r>
      <w:r w:rsidR="00A04C23" w:rsidRPr="00B50274">
        <w:rPr>
          <w:rFonts w:ascii="Palatino Linotype" w:eastAsia="Times New Roman" w:hAnsi="Palatino Linotype" w:cs="Arial"/>
          <w:sz w:val="24"/>
        </w:rPr>
        <w:t>el</w:t>
      </w:r>
      <w:r w:rsidRPr="00B50274">
        <w:rPr>
          <w:rFonts w:ascii="Palatino Linotype" w:eastAsia="Calibri" w:hAnsi="Palatino Linotype" w:cs="Arial"/>
          <w:sz w:val="24"/>
        </w:rPr>
        <w:t xml:space="preserve"> recurrente en el recurso de revisión </w:t>
      </w:r>
      <w:r w:rsidRPr="00B50274">
        <w:rPr>
          <w:rFonts w:ascii="Palatino Linotype" w:eastAsia="Times New Roman" w:hAnsi="Palatino Linotype" w:cs="Times New Roman"/>
          <w:b/>
          <w:sz w:val="24"/>
        </w:rPr>
        <w:t>02</w:t>
      </w:r>
      <w:r w:rsidR="00241948" w:rsidRPr="00B50274">
        <w:rPr>
          <w:rFonts w:ascii="Palatino Linotype" w:eastAsia="Times New Roman" w:hAnsi="Palatino Linotype" w:cs="Times New Roman"/>
          <w:b/>
          <w:sz w:val="24"/>
        </w:rPr>
        <w:t>173</w:t>
      </w:r>
      <w:r w:rsidR="00465CAB" w:rsidRPr="00B50274">
        <w:rPr>
          <w:rFonts w:ascii="Palatino Linotype" w:eastAsia="Times New Roman" w:hAnsi="Palatino Linotype" w:cs="Times New Roman"/>
          <w:b/>
          <w:sz w:val="24"/>
        </w:rPr>
        <w:t xml:space="preserve">/INFOEM/IP/RR/2018 </w:t>
      </w:r>
      <w:r w:rsidR="00465CAB" w:rsidRPr="00B50274">
        <w:rPr>
          <w:rFonts w:ascii="Palatino Linotype" w:eastAsia="Times New Roman" w:hAnsi="Palatino Linotype" w:cs="Times New Roman"/>
          <w:sz w:val="24"/>
        </w:rPr>
        <w:t>en términos del considerando CUARTO de la presente resolución.</w:t>
      </w:r>
    </w:p>
    <w:p w:rsidR="0019091F" w:rsidRPr="00B50274" w:rsidRDefault="003D02D4" w:rsidP="00241948">
      <w:pPr>
        <w:widowControl w:val="0"/>
        <w:autoSpaceDE w:val="0"/>
        <w:autoSpaceDN w:val="0"/>
        <w:adjustRightInd w:val="0"/>
        <w:spacing w:before="240" w:after="240" w:line="360" w:lineRule="auto"/>
        <w:jc w:val="both"/>
        <w:rPr>
          <w:rFonts w:ascii="Palatino Linotype" w:eastAsia="Calibri" w:hAnsi="Palatino Linotype" w:cs="Arial"/>
          <w:sz w:val="24"/>
        </w:rPr>
      </w:pPr>
      <w:r w:rsidRPr="00B50274">
        <w:rPr>
          <w:rFonts w:ascii="Palatino Linotype" w:eastAsia="Calibri" w:hAnsi="Palatino Linotype" w:cs="Arial"/>
          <w:b/>
          <w:bCs/>
          <w:sz w:val="24"/>
        </w:rPr>
        <w:t xml:space="preserve">SEGUNDO. </w:t>
      </w:r>
      <w:r w:rsidRPr="00B50274">
        <w:rPr>
          <w:rFonts w:ascii="Palatino Linotype" w:eastAsia="Calibri" w:hAnsi="Palatino Linotype" w:cs="Arial"/>
          <w:sz w:val="24"/>
        </w:rPr>
        <w:t xml:space="preserve">Se </w:t>
      </w:r>
      <w:r w:rsidR="00C7246E" w:rsidRPr="00B50274">
        <w:rPr>
          <w:rFonts w:ascii="Palatino Linotype" w:eastAsia="Calibri" w:hAnsi="Palatino Linotype" w:cs="Arial"/>
          <w:b/>
          <w:sz w:val="24"/>
        </w:rPr>
        <w:t>REVOCA</w:t>
      </w:r>
      <w:r w:rsidR="00C7246E" w:rsidRPr="00B50274">
        <w:rPr>
          <w:rFonts w:ascii="Palatino Linotype" w:eastAsia="Calibri" w:hAnsi="Palatino Linotype" w:cs="Arial"/>
          <w:sz w:val="24"/>
        </w:rPr>
        <w:t xml:space="preserve"> </w:t>
      </w:r>
      <w:r w:rsidR="00241948" w:rsidRPr="00B50274">
        <w:rPr>
          <w:rFonts w:ascii="Palatino Linotype" w:eastAsia="Calibri" w:hAnsi="Palatino Linotype" w:cs="Arial"/>
          <w:sz w:val="24"/>
        </w:rPr>
        <w:t xml:space="preserve">la respuesta emitida por el </w:t>
      </w:r>
      <w:r w:rsidR="00241948" w:rsidRPr="00B50274">
        <w:rPr>
          <w:rFonts w:ascii="Palatino Linotype" w:eastAsia="Calibri" w:hAnsi="Palatino Linotype" w:cs="Arial"/>
          <w:b/>
          <w:sz w:val="24"/>
        </w:rPr>
        <w:t>Poder Legislativo</w:t>
      </w:r>
      <w:r w:rsidR="00241948" w:rsidRPr="00B50274">
        <w:rPr>
          <w:rFonts w:ascii="Palatino Linotype" w:eastAsia="Calibri" w:hAnsi="Palatino Linotype" w:cs="Arial"/>
          <w:sz w:val="24"/>
        </w:rPr>
        <w:t xml:space="preserve"> y se </w:t>
      </w:r>
      <w:r w:rsidR="00241948" w:rsidRPr="00B50274">
        <w:rPr>
          <w:rFonts w:ascii="Palatino Linotype" w:eastAsia="Calibri" w:hAnsi="Palatino Linotype" w:cs="Arial"/>
          <w:b/>
          <w:sz w:val="24"/>
        </w:rPr>
        <w:t>ORDENA</w:t>
      </w:r>
      <w:r w:rsidR="00241948" w:rsidRPr="00B50274">
        <w:rPr>
          <w:rFonts w:ascii="Palatino Linotype" w:eastAsia="Calibri" w:hAnsi="Palatino Linotype" w:cs="Arial"/>
          <w:sz w:val="24"/>
        </w:rPr>
        <w:t xml:space="preserve"> entregar vía Sistema de Acceso a la Información Mexiquense (SAIMEX), en términos del Considerando CUARTO y QUINTO de esta resolución en versión pública, </w:t>
      </w:r>
      <w:r w:rsidR="00EA6E86" w:rsidRPr="00B50274">
        <w:rPr>
          <w:rFonts w:ascii="Palatino Linotype" w:eastAsia="Calibri" w:hAnsi="Palatino Linotype" w:cs="Arial"/>
          <w:sz w:val="24"/>
        </w:rPr>
        <w:t xml:space="preserve">los documentos donde conste la siguiente información: </w:t>
      </w:r>
    </w:p>
    <w:p w:rsidR="0019091F" w:rsidRPr="00B50274" w:rsidRDefault="0019091F" w:rsidP="0019091F">
      <w:pPr>
        <w:pStyle w:val="Prrafodelista"/>
        <w:numPr>
          <w:ilvl w:val="0"/>
          <w:numId w:val="34"/>
        </w:numPr>
        <w:spacing w:after="240" w:line="360" w:lineRule="auto"/>
        <w:jc w:val="both"/>
        <w:rPr>
          <w:rFonts w:ascii="Palatino Linotype" w:eastAsia="Calibri" w:hAnsi="Palatino Linotype" w:cs="Arial"/>
          <w:b/>
          <w:sz w:val="24"/>
        </w:rPr>
      </w:pPr>
      <w:r w:rsidRPr="00B50274">
        <w:rPr>
          <w:rFonts w:ascii="Palatino Linotype" w:eastAsia="Calibri" w:hAnsi="Palatino Linotype" w:cs="Arial"/>
          <w:b/>
          <w:sz w:val="24"/>
        </w:rPr>
        <w:t>El expediente</w:t>
      </w:r>
      <w:r w:rsidR="00452227" w:rsidRPr="00B50274">
        <w:rPr>
          <w:rFonts w:ascii="Palatino Linotype" w:eastAsia="Calibri" w:hAnsi="Palatino Linotype" w:cs="Arial"/>
          <w:b/>
          <w:sz w:val="24"/>
        </w:rPr>
        <w:t xml:space="preserve"> referido en la solicitud número </w:t>
      </w:r>
      <w:r w:rsidR="00452227" w:rsidRPr="00B50274">
        <w:rPr>
          <w:rFonts w:ascii="Palatino Linotype" w:eastAsia="Times New Roman" w:hAnsi="Palatino Linotype" w:cs="Arial"/>
          <w:b/>
          <w:bCs/>
          <w:sz w:val="24"/>
          <w:szCs w:val="24"/>
          <w:lang w:eastAsia="es-ES"/>
        </w:rPr>
        <w:t>00218/PLEGISLA/IP/2018;</w:t>
      </w:r>
    </w:p>
    <w:p w:rsidR="0019091F" w:rsidRPr="00B50274" w:rsidRDefault="0019091F" w:rsidP="0019091F">
      <w:pPr>
        <w:pStyle w:val="Prrafodelista"/>
        <w:numPr>
          <w:ilvl w:val="0"/>
          <w:numId w:val="34"/>
        </w:numPr>
        <w:spacing w:after="240" w:line="360" w:lineRule="auto"/>
        <w:jc w:val="both"/>
        <w:rPr>
          <w:rFonts w:ascii="Palatino Linotype" w:eastAsia="Calibri" w:hAnsi="Palatino Linotype" w:cs="Arial"/>
          <w:b/>
          <w:sz w:val="24"/>
        </w:rPr>
      </w:pPr>
      <w:r w:rsidRPr="00B50274">
        <w:rPr>
          <w:rFonts w:ascii="Palatino Linotype" w:eastAsia="Calibri" w:hAnsi="Palatino Linotype" w:cs="Arial"/>
          <w:b/>
          <w:sz w:val="24"/>
        </w:rPr>
        <w:t xml:space="preserve">La resolución emitida en el expediente </w:t>
      </w:r>
      <w:r w:rsidR="00452227" w:rsidRPr="00B50274">
        <w:rPr>
          <w:rFonts w:ascii="Palatino Linotype" w:eastAsia="Calibri" w:hAnsi="Palatino Linotype" w:cs="Arial"/>
          <w:b/>
          <w:sz w:val="24"/>
        </w:rPr>
        <w:t xml:space="preserve">referido en la solicitud número </w:t>
      </w:r>
      <w:r w:rsidR="00452227" w:rsidRPr="00B50274">
        <w:rPr>
          <w:rFonts w:ascii="Palatino Linotype" w:eastAsia="Times New Roman" w:hAnsi="Palatino Linotype" w:cs="Arial"/>
          <w:b/>
          <w:bCs/>
          <w:sz w:val="24"/>
          <w:szCs w:val="24"/>
          <w:lang w:eastAsia="es-ES"/>
        </w:rPr>
        <w:t xml:space="preserve">00218/PLEGISLA/IP/2018 </w:t>
      </w:r>
      <w:r w:rsidRPr="00B50274">
        <w:rPr>
          <w:rFonts w:ascii="Palatino Linotype" w:eastAsia="Calibri" w:hAnsi="Palatino Linotype" w:cs="Arial"/>
          <w:b/>
          <w:sz w:val="24"/>
        </w:rPr>
        <w:t>así como su acumulado y sus respectivas constancias de notificación</w:t>
      </w:r>
      <w:r w:rsidR="00452227" w:rsidRPr="00B50274">
        <w:rPr>
          <w:rFonts w:ascii="Palatino Linotype" w:eastAsia="Calibri" w:hAnsi="Palatino Linotype" w:cs="Arial"/>
          <w:b/>
          <w:sz w:val="24"/>
        </w:rPr>
        <w:t>;</w:t>
      </w:r>
    </w:p>
    <w:p w:rsidR="00452227" w:rsidRPr="00B50274" w:rsidRDefault="0019091F" w:rsidP="00A45275">
      <w:pPr>
        <w:pStyle w:val="Prrafodelista"/>
        <w:numPr>
          <w:ilvl w:val="0"/>
          <w:numId w:val="34"/>
        </w:numPr>
        <w:spacing w:after="240" w:line="360" w:lineRule="auto"/>
        <w:jc w:val="both"/>
        <w:rPr>
          <w:rFonts w:ascii="Palatino Linotype" w:eastAsia="Calibri" w:hAnsi="Palatino Linotype" w:cs="Arial"/>
          <w:b/>
          <w:sz w:val="24"/>
        </w:rPr>
      </w:pPr>
      <w:r w:rsidRPr="00B50274">
        <w:rPr>
          <w:rFonts w:ascii="Palatino Linotype" w:eastAsia="Calibri" w:hAnsi="Palatino Linotype" w:cs="Arial"/>
          <w:b/>
          <w:sz w:val="24"/>
        </w:rPr>
        <w:t xml:space="preserve">La sentencia dictada en el juicio de amparo </w:t>
      </w:r>
      <w:r w:rsidR="00452227" w:rsidRPr="00B50274">
        <w:rPr>
          <w:rFonts w:ascii="Palatino Linotype" w:eastAsia="Calibri" w:hAnsi="Palatino Linotype" w:cs="Arial"/>
          <w:b/>
          <w:sz w:val="24"/>
        </w:rPr>
        <w:t xml:space="preserve">referido en la solicitud número </w:t>
      </w:r>
      <w:r w:rsidR="00452227" w:rsidRPr="00B50274">
        <w:rPr>
          <w:rFonts w:ascii="Palatino Linotype" w:eastAsia="Times New Roman" w:hAnsi="Palatino Linotype" w:cs="Arial"/>
          <w:b/>
          <w:bCs/>
          <w:sz w:val="24"/>
          <w:szCs w:val="24"/>
          <w:lang w:eastAsia="es-ES"/>
        </w:rPr>
        <w:t>00218/PLEGISLA/IP/2018;</w:t>
      </w:r>
    </w:p>
    <w:p w:rsidR="00452227" w:rsidRPr="00B50274" w:rsidRDefault="0019091F" w:rsidP="00A45275">
      <w:pPr>
        <w:pStyle w:val="Prrafodelista"/>
        <w:numPr>
          <w:ilvl w:val="0"/>
          <w:numId w:val="34"/>
        </w:numPr>
        <w:spacing w:after="240" w:line="360" w:lineRule="auto"/>
        <w:jc w:val="both"/>
        <w:rPr>
          <w:rFonts w:ascii="Palatino Linotype" w:eastAsia="Calibri" w:hAnsi="Palatino Linotype" w:cs="Arial"/>
          <w:b/>
          <w:sz w:val="24"/>
        </w:rPr>
      </w:pPr>
      <w:r w:rsidRPr="00B50274">
        <w:rPr>
          <w:rFonts w:ascii="Palatino Linotype" w:eastAsia="Calibri" w:hAnsi="Palatino Linotype" w:cs="Arial"/>
          <w:b/>
          <w:sz w:val="24"/>
        </w:rPr>
        <w:t xml:space="preserve">La sentencia dictada en el juicio de amparo en revisión </w:t>
      </w:r>
      <w:r w:rsidR="00452227" w:rsidRPr="00B50274">
        <w:rPr>
          <w:rFonts w:ascii="Palatino Linotype" w:eastAsia="Calibri" w:hAnsi="Palatino Linotype" w:cs="Arial"/>
          <w:b/>
          <w:sz w:val="24"/>
        </w:rPr>
        <w:t xml:space="preserve">referido en la solicitud número </w:t>
      </w:r>
      <w:r w:rsidR="00452227" w:rsidRPr="00B50274">
        <w:rPr>
          <w:rFonts w:ascii="Palatino Linotype" w:eastAsia="Times New Roman" w:hAnsi="Palatino Linotype" w:cs="Arial"/>
          <w:b/>
          <w:bCs/>
          <w:sz w:val="24"/>
          <w:szCs w:val="24"/>
          <w:lang w:eastAsia="es-ES"/>
        </w:rPr>
        <w:t xml:space="preserve">00218/PLEGISLA/IP/2018; </w:t>
      </w:r>
    </w:p>
    <w:p w:rsidR="0019091F" w:rsidRPr="00B50274" w:rsidRDefault="0019091F" w:rsidP="00A45275">
      <w:pPr>
        <w:pStyle w:val="Prrafodelista"/>
        <w:numPr>
          <w:ilvl w:val="0"/>
          <w:numId w:val="34"/>
        </w:numPr>
        <w:spacing w:after="240" w:line="360" w:lineRule="auto"/>
        <w:jc w:val="both"/>
        <w:rPr>
          <w:rFonts w:ascii="Palatino Linotype" w:eastAsia="Calibri" w:hAnsi="Palatino Linotype" w:cs="Arial"/>
          <w:b/>
          <w:sz w:val="24"/>
        </w:rPr>
      </w:pPr>
      <w:r w:rsidRPr="00B50274">
        <w:rPr>
          <w:rFonts w:ascii="Palatino Linotype" w:eastAsia="Calibri" w:hAnsi="Palatino Linotype" w:cs="Arial"/>
          <w:b/>
          <w:sz w:val="24"/>
        </w:rPr>
        <w:t xml:space="preserve">Los documentos que el Órgano Superior de Fiscalización del Estado de Mixco (OSFEM) solicitó al Municipio de </w:t>
      </w:r>
      <w:proofErr w:type="spellStart"/>
      <w:r w:rsidRPr="00B50274">
        <w:rPr>
          <w:rFonts w:ascii="Palatino Linotype" w:eastAsia="Calibri" w:hAnsi="Palatino Linotype" w:cs="Arial"/>
          <w:b/>
          <w:sz w:val="24"/>
        </w:rPr>
        <w:t>Xonacatlán</w:t>
      </w:r>
      <w:proofErr w:type="spellEnd"/>
      <w:r w:rsidRPr="00B50274">
        <w:rPr>
          <w:rFonts w:ascii="Palatino Linotype" w:eastAsia="Calibri" w:hAnsi="Palatino Linotype" w:cs="Arial"/>
          <w:b/>
          <w:sz w:val="24"/>
        </w:rPr>
        <w:t xml:space="preserve"> por concepto de requerimiento y pago de la responsabilidad administrativa resarcitoria determinada en el expediente </w:t>
      </w:r>
      <w:r w:rsidR="00452227" w:rsidRPr="00B50274">
        <w:rPr>
          <w:rFonts w:ascii="Palatino Linotype" w:eastAsia="Calibri" w:hAnsi="Palatino Linotype" w:cs="Arial"/>
          <w:b/>
          <w:sz w:val="24"/>
        </w:rPr>
        <w:t xml:space="preserve">referido en la solicitud número </w:t>
      </w:r>
      <w:r w:rsidR="00452227" w:rsidRPr="00B50274">
        <w:rPr>
          <w:rFonts w:ascii="Palatino Linotype" w:eastAsia="Times New Roman" w:hAnsi="Palatino Linotype" w:cs="Arial"/>
          <w:b/>
          <w:bCs/>
          <w:sz w:val="24"/>
          <w:szCs w:val="24"/>
          <w:lang w:eastAsia="es-ES"/>
        </w:rPr>
        <w:t>00218/PLEGISLA/IP/2018.</w:t>
      </w:r>
    </w:p>
    <w:p w:rsidR="00B97110" w:rsidRPr="00B50274" w:rsidRDefault="00B97110" w:rsidP="00B97110">
      <w:pPr>
        <w:pStyle w:val="Prrafodelista"/>
        <w:spacing w:after="0" w:line="360" w:lineRule="auto"/>
        <w:ind w:left="360"/>
        <w:jc w:val="both"/>
        <w:rPr>
          <w:rFonts w:ascii="Palatino Linotype" w:eastAsia="Times New Roman" w:hAnsi="Palatino Linotype" w:cs="Arial"/>
          <w:sz w:val="24"/>
          <w:lang w:val="es-ES"/>
        </w:rPr>
      </w:pPr>
    </w:p>
    <w:p w:rsidR="00B97110" w:rsidRPr="00B50274" w:rsidRDefault="00B97110" w:rsidP="00EA6E86">
      <w:pPr>
        <w:spacing w:after="0" w:line="360" w:lineRule="auto"/>
        <w:jc w:val="both"/>
        <w:rPr>
          <w:rFonts w:ascii="Palatino Linotype" w:eastAsia="Times New Roman" w:hAnsi="Palatino Linotype" w:cs="Arial"/>
          <w:sz w:val="24"/>
          <w:lang w:val="es-ES"/>
        </w:rPr>
      </w:pPr>
      <w:r w:rsidRPr="00B50274">
        <w:rPr>
          <w:rFonts w:ascii="Palatino Linotype" w:eastAsia="Times New Roman" w:hAnsi="Palatino Linotype" w:cs="Arial"/>
          <w:sz w:val="24"/>
          <w:lang w:val="es-ES"/>
        </w:rPr>
        <w:t xml:space="preserve">Para el caso de que el Sujeto Obligado no posea la información ordenada </w:t>
      </w:r>
      <w:r w:rsidRPr="00B50274">
        <w:rPr>
          <w:rFonts w:ascii="Palatino Linotype" w:eastAsia="Calibri" w:hAnsi="Palatino Linotype" w:cs="Arial"/>
          <w:sz w:val="24"/>
        </w:rPr>
        <w:t>correspondiente al numeral 5</w:t>
      </w:r>
      <w:r w:rsidRPr="00B50274">
        <w:rPr>
          <w:rFonts w:ascii="Palatino Linotype" w:eastAsia="Times New Roman" w:hAnsi="Palatino Linotype" w:cs="Arial"/>
          <w:sz w:val="24"/>
          <w:lang w:val="es-ES"/>
        </w:rPr>
        <w:t>, deberá de remitir aquella información donde</w:t>
      </w:r>
      <w:r w:rsidR="00EA6E86" w:rsidRPr="00B50274">
        <w:rPr>
          <w:rFonts w:ascii="Palatino Linotype" w:eastAsia="Times New Roman" w:hAnsi="Palatino Linotype" w:cs="Arial"/>
          <w:sz w:val="24"/>
          <w:lang w:val="es-ES"/>
        </w:rPr>
        <w:t xml:space="preserve"> </w:t>
      </w:r>
      <w:r w:rsidR="00914E9A" w:rsidRPr="00B50274">
        <w:rPr>
          <w:rFonts w:ascii="Palatino Linotype" w:eastAsia="Times New Roman" w:hAnsi="Palatino Linotype" w:cs="Arial"/>
          <w:sz w:val="24"/>
          <w:lang w:val="es-ES"/>
        </w:rPr>
        <w:t xml:space="preserve">consten </w:t>
      </w:r>
      <w:r w:rsidR="00914E9A" w:rsidRPr="00B50274">
        <w:rPr>
          <w:rFonts w:ascii="Palatino Linotype" w:eastAsia="Times New Roman" w:hAnsi="Palatino Linotype" w:cs="Arial"/>
          <w:sz w:val="24"/>
          <w:lang w:val="es-ES"/>
        </w:rPr>
        <w:lastRenderedPageBreak/>
        <w:t>las</w:t>
      </w:r>
      <w:r w:rsidRPr="00B50274">
        <w:rPr>
          <w:rFonts w:ascii="Palatino Linotype" w:eastAsia="Times New Roman" w:hAnsi="Palatino Linotype" w:cs="Arial"/>
          <w:sz w:val="24"/>
          <w:lang w:val="es-ES"/>
        </w:rPr>
        <w:t xml:space="preserve"> acciones realizadas para atender la responsabilidad administrativa resarcitoria estipulada con anterioridad. </w:t>
      </w:r>
    </w:p>
    <w:p w:rsidR="00B97110" w:rsidRPr="00B50274" w:rsidRDefault="00B97110" w:rsidP="00B97110">
      <w:pPr>
        <w:pStyle w:val="Prrafodelista"/>
        <w:spacing w:after="0" w:line="360" w:lineRule="auto"/>
        <w:ind w:left="360"/>
        <w:jc w:val="both"/>
        <w:rPr>
          <w:rFonts w:ascii="Palatino Linotype" w:eastAsia="Times New Roman" w:hAnsi="Palatino Linotype" w:cs="Arial"/>
          <w:sz w:val="24"/>
          <w:lang w:val="es-ES"/>
        </w:rPr>
      </w:pPr>
    </w:p>
    <w:p w:rsidR="00054B44" w:rsidRPr="00B50274" w:rsidRDefault="00EA6E86" w:rsidP="00EA6E86">
      <w:pPr>
        <w:pStyle w:val="Prrafodelista"/>
        <w:spacing w:after="0" w:line="360" w:lineRule="auto"/>
        <w:ind w:left="0"/>
        <w:jc w:val="both"/>
        <w:rPr>
          <w:rFonts w:ascii="Palatino Linotype" w:eastAsia="Times New Roman" w:hAnsi="Palatino Linotype" w:cs="Arial"/>
          <w:sz w:val="24"/>
          <w:lang w:val="es-ES"/>
        </w:rPr>
      </w:pPr>
      <w:r w:rsidRPr="00B50274">
        <w:rPr>
          <w:rFonts w:ascii="Palatino Linotype" w:eastAsia="Times New Roman" w:hAnsi="Palatino Linotype" w:cs="Arial"/>
          <w:sz w:val="24"/>
          <w:lang w:val="es-ES"/>
        </w:rPr>
        <w:t xml:space="preserve">Solo para el </w:t>
      </w:r>
      <w:r w:rsidR="00054B44" w:rsidRPr="00B50274">
        <w:rPr>
          <w:rFonts w:ascii="Palatino Linotype" w:eastAsia="Times New Roman" w:hAnsi="Palatino Linotype" w:cs="Arial"/>
          <w:sz w:val="24"/>
          <w:lang w:val="es-ES"/>
        </w:rPr>
        <w:t xml:space="preserve">caso no contar con la información marcada en el </w:t>
      </w:r>
      <w:r w:rsidR="00B97110" w:rsidRPr="00B50274">
        <w:rPr>
          <w:rFonts w:ascii="Palatino Linotype" w:eastAsia="Times New Roman" w:hAnsi="Palatino Linotype" w:cs="Arial"/>
          <w:sz w:val="24"/>
          <w:lang w:val="es-ES"/>
        </w:rPr>
        <w:t>numeral 5 ni aquella donde se aprecien las acciones realizadas para atender la responsabilidad administrativa resarcitoria citada</w:t>
      </w:r>
      <w:r w:rsidR="00054B44" w:rsidRPr="00B50274">
        <w:rPr>
          <w:rFonts w:ascii="Palatino Linotype" w:eastAsia="Times New Roman" w:hAnsi="Palatino Linotype" w:cs="Arial"/>
          <w:sz w:val="24"/>
          <w:lang w:val="es-ES"/>
        </w:rPr>
        <w:t xml:space="preserve">, el </w:t>
      </w:r>
      <w:r w:rsidR="00054B44" w:rsidRPr="00B50274">
        <w:rPr>
          <w:rFonts w:ascii="Palatino Linotype" w:eastAsia="Times New Roman" w:hAnsi="Palatino Linotype" w:cs="Arial"/>
          <w:b/>
          <w:sz w:val="24"/>
          <w:lang w:val="es-ES"/>
        </w:rPr>
        <w:t>SUJETO OBLIGADO</w:t>
      </w:r>
      <w:r w:rsidR="00054B44" w:rsidRPr="00B50274">
        <w:rPr>
          <w:rFonts w:ascii="Palatino Linotype" w:eastAsia="Times New Roman" w:hAnsi="Palatino Linotype" w:cs="Arial"/>
          <w:sz w:val="24"/>
          <w:lang w:val="es-ES"/>
        </w:rPr>
        <w:t xml:space="preserve"> deberá generar y entregar el Acuerdo que sustente la inexistencia de la información, en el que se expliquen las razones de por qué no se cuenta con la información, de manera fundada y motivada, en términos del Considerando </w:t>
      </w:r>
      <w:r w:rsidR="00CE5FAF" w:rsidRPr="00B50274">
        <w:rPr>
          <w:rFonts w:ascii="Palatino Linotype" w:eastAsia="Times New Roman" w:hAnsi="Palatino Linotype" w:cs="Arial"/>
          <w:sz w:val="24"/>
          <w:lang w:val="es-ES"/>
        </w:rPr>
        <w:t>SEXTO</w:t>
      </w:r>
      <w:r w:rsidR="00054B44" w:rsidRPr="00B50274">
        <w:rPr>
          <w:rFonts w:ascii="Palatino Linotype" w:eastAsia="Times New Roman" w:hAnsi="Palatino Linotype" w:cs="Arial"/>
          <w:sz w:val="24"/>
          <w:lang w:val="es-ES"/>
        </w:rPr>
        <w:t xml:space="preserve">. </w:t>
      </w:r>
    </w:p>
    <w:p w:rsidR="008712F2" w:rsidRPr="00B50274" w:rsidRDefault="008712F2" w:rsidP="00EA6E86">
      <w:pPr>
        <w:pStyle w:val="Prrafodelista"/>
        <w:spacing w:after="0" w:line="240" w:lineRule="auto"/>
        <w:ind w:left="0"/>
        <w:jc w:val="both"/>
        <w:rPr>
          <w:rFonts w:ascii="Palatino Linotype" w:eastAsia="Times New Roman" w:hAnsi="Palatino Linotype" w:cs="Arial"/>
          <w:sz w:val="24"/>
          <w:lang w:val="es-ES"/>
        </w:rPr>
      </w:pPr>
    </w:p>
    <w:p w:rsidR="003D02D4" w:rsidRPr="00B50274" w:rsidRDefault="003D02D4" w:rsidP="00EA6E86">
      <w:pPr>
        <w:spacing w:after="240" w:line="360" w:lineRule="auto"/>
        <w:jc w:val="both"/>
        <w:rPr>
          <w:rFonts w:ascii="Palatino Linotype" w:eastAsia="Calibri" w:hAnsi="Palatino Linotype" w:cs="Arial"/>
          <w:sz w:val="24"/>
        </w:rPr>
      </w:pPr>
      <w:r w:rsidRPr="00B50274">
        <w:rPr>
          <w:rFonts w:ascii="Palatino Linotype" w:eastAsia="Calibri" w:hAnsi="Palatino Linotype" w:cs="Arial"/>
          <w:sz w:val="24"/>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w:t>
      </w:r>
    </w:p>
    <w:p w:rsidR="003D02D4" w:rsidRPr="00B50274" w:rsidRDefault="003D02D4" w:rsidP="003D02D4">
      <w:pPr>
        <w:spacing w:before="240" w:after="360" w:line="360" w:lineRule="auto"/>
        <w:jc w:val="both"/>
        <w:rPr>
          <w:rFonts w:ascii="Palatino Linotype" w:eastAsia="MS Mincho" w:hAnsi="Palatino Linotype" w:cs="Times New Roman"/>
          <w:color w:val="000000"/>
          <w:sz w:val="24"/>
        </w:rPr>
      </w:pPr>
      <w:r w:rsidRPr="00B50274">
        <w:rPr>
          <w:rFonts w:ascii="Palatino Linotype" w:eastAsia="MS Mincho" w:hAnsi="Palatino Linotype" w:cs="Times New Roman"/>
          <w:b/>
          <w:color w:val="000000"/>
          <w:sz w:val="24"/>
        </w:rPr>
        <w:t>TERCERO</w:t>
      </w:r>
      <w:r w:rsidRPr="00B50274">
        <w:rPr>
          <w:rFonts w:ascii="Palatino Linotype" w:eastAsia="MS Mincho" w:hAnsi="Palatino Linotype" w:cs="Times New Roman"/>
          <w:color w:val="000000"/>
          <w:sz w:val="24"/>
        </w:rPr>
        <w:t>. Notifíquese al Titular de la Unidad de Transparencia del</w:t>
      </w:r>
      <w:r w:rsidRPr="00B50274">
        <w:rPr>
          <w:rFonts w:ascii="Palatino Linotype" w:eastAsia="MS Mincho" w:hAnsi="Palatino Linotype" w:cs="Times New Roman"/>
          <w:b/>
          <w:color w:val="000000"/>
          <w:sz w:val="24"/>
        </w:rPr>
        <w:t xml:space="preserve"> SUJETO OBLIGADO</w:t>
      </w:r>
      <w:r w:rsidRPr="00B50274">
        <w:rPr>
          <w:rFonts w:ascii="Palatino Linotype" w:eastAsia="MS Mincho" w:hAnsi="Palatino Linotype" w:cs="Times New Roman"/>
          <w:color w:val="000000"/>
          <w:sz w:val="24"/>
        </w:rPr>
        <w:t>, para que conforme a los artículos 186 último párrafo, 189 párrafo segundo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rsidR="003D02D4" w:rsidRPr="00B50274" w:rsidRDefault="003D02D4" w:rsidP="003D02D4">
      <w:pPr>
        <w:spacing w:before="240" w:after="360" w:line="360" w:lineRule="auto"/>
        <w:jc w:val="both"/>
        <w:rPr>
          <w:rFonts w:ascii="Palatino Linotype" w:eastAsia="MS Mincho" w:hAnsi="Palatino Linotype" w:cs="Times New Roman"/>
          <w:color w:val="000000"/>
          <w:sz w:val="24"/>
        </w:rPr>
      </w:pPr>
      <w:r w:rsidRPr="00B50274">
        <w:rPr>
          <w:rFonts w:ascii="Palatino Linotype" w:eastAsia="MS Mincho" w:hAnsi="Palatino Linotype" w:cs="Times New Roman"/>
          <w:b/>
          <w:color w:val="000000"/>
          <w:sz w:val="24"/>
        </w:rPr>
        <w:t xml:space="preserve">CUARTO. </w:t>
      </w:r>
      <w:r w:rsidRPr="00B50274">
        <w:rPr>
          <w:rFonts w:ascii="Palatino Linotype" w:eastAsia="MS Mincho" w:hAnsi="Palatino Linotype" w:cs="Times New Roman"/>
          <w:color w:val="000000"/>
          <w:sz w:val="24"/>
        </w:rPr>
        <w:t>Notifíquese a</w:t>
      </w:r>
      <w:r w:rsidRPr="00B50274">
        <w:rPr>
          <w:rFonts w:ascii="Palatino Linotype" w:eastAsia="MS Mincho" w:hAnsi="Palatino Linotype" w:cs="Times New Roman"/>
          <w:b/>
          <w:color w:val="000000"/>
          <w:sz w:val="24"/>
        </w:rPr>
        <w:t xml:space="preserve"> </w:t>
      </w:r>
      <w:r w:rsidR="008C5ABE" w:rsidRPr="008C5ABE">
        <w:rPr>
          <w:rFonts w:ascii="Palatino Linotype" w:eastAsia="MS Mincho" w:hAnsi="Palatino Linotype" w:cs="Arial"/>
          <w:b/>
          <w:sz w:val="24"/>
          <w:szCs w:val="24"/>
          <w:highlight w:val="black"/>
          <w:lang w:val="es-ES_tradnl" w:eastAsia="es-ES"/>
        </w:rPr>
        <w:t>---------------</w:t>
      </w:r>
      <w:r w:rsidR="00C02A51">
        <w:rPr>
          <w:rFonts w:ascii="Palatino Linotype" w:eastAsia="MS Mincho" w:hAnsi="Palatino Linotype" w:cs="Arial"/>
          <w:b/>
          <w:sz w:val="24"/>
          <w:szCs w:val="24"/>
          <w:highlight w:val="black"/>
          <w:lang w:val="es-ES_tradnl" w:eastAsia="es-ES"/>
        </w:rPr>
        <w:t>---------</w:t>
      </w:r>
      <w:r w:rsidR="008C5ABE" w:rsidRPr="008C5ABE">
        <w:rPr>
          <w:rFonts w:ascii="Palatino Linotype" w:eastAsia="MS Mincho" w:hAnsi="Palatino Linotype" w:cs="Arial"/>
          <w:b/>
          <w:sz w:val="24"/>
          <w:szCs w:val="24"/>
          <w:highlight w:val="black"/>
          <w:lang w:val="es-ES_tradnl" w:eastAsia="es-ES"/>
        </w:rPr>
        <w:t>----------------</w:t>
      </w:r>
      <w:r w:rsidRPr="00B50274">
        <w:rPr>
          <w:rFonts w:ascii="Palatino Linotype" w:hAnsi="Palatino Linotype"/>
          <w:b/>
          <w:sz w:val="24"/>
        </w:rPr>
        <w:t xml:space="preserve"> </w:t>
      </w:r>
      <w:r w:rsidRPr="00B50274">
        <w:rPr>
          <w:rFonts w:ascii="Palatino Linotype" w:eastAsia="MS Mincho" w:hAnsi="Palatino Linotype" w:cs="Times New Roman"/>
          <w:color w:val="000000"/>
          <w:sz w:val="24"/>
        </w:rPr>
        <w:t xml:space="preserve">la presente resolución. </w:t>
      </w:r>
    </w:p>
    <w:p w:rsidR="003D02D4" w:rsidRPr="00B50274" w:rsidRDefault="003D02D4" w:rsidP="003D02D4">
      <w:pPr>
        <w:spacing w:before="240" w:after="360" w:line="360" w:lineRule="auto"/>
        <w:jc w:val="both"/>
        <w:rPr>
          <w:rFonts w:ascii="Palatino Linotype" w:eastAsia="MS Mincho" w:hAnsi="Palatino Linotype" w:cs="Times New Roman"/>
          <w:color w:val="000000"/>
          <w:sz w:val="24"/>
        </w:rPr>
      </w:pPr>
      <w:r w:rsidRPr="00B50274">
        <w:rPr>
          <w:rFonts w:ascii="Palatino Linotype" w:eastAsia="MS Mincho" w:hAnsi="Palatino Linotype" w:cs="Times New Roman"/>
          <w:b/>
          <w:color w:val="000000"/>
          <w:sz w:val="24"/>
        </w:rPr>
        <w:lastRenderedPageBreak/>
        <w:t xml:space="preserve">QUINTO. </w:t>
      </w:r>
      <w:r w:rsidRPr="00B50274">
        <w:rPr>
          <w:rFonts w:ascii="Palatino Linotype" w:eastAsia="MS Mincho" w:hAnsi="Palatino Linotype" w:cs="Times New Roman"/>
          <w:color w:val="000000"/>
          <w:sz w:val="24"/>
        </w:rPr>
        <w:t xml:space="preserve">Se hace del conocimiento de </w:t>
      </w:r>
      <w:r w:rsidR="008C5ABE" w:rsidRPr="008C5ABE">
        <w:rPr>
          <w:rFonts w:ascii="Palatino Linotype" w:eastAsia="MS Mincho" w:hAnsi="Palatino Linotype" w:cs="Arial"/>
          <w:b/>
          <w:sz w:val="24"/>
          <w:szCs w:val="24"/>
          <w:highlight w:val="black"/>
          <w:lang w:val="es-ES_tradnl" w:eastAsia="es-ES"/>
        </w:rPr>
        <w:t>--------------------</w:t>
      </w:r>
      <w:r w:rsidR="00C02A51">
        <w:rPr>
          <w:rFonts w:ascii="Palatino Linotype" w:eastAsia="MS Mincho" w:hAnsi="Palatino Linotype" w:cs="Arial"/>
          <w:b/>
          <w:sz w:val="24"/>
          <w:szCs w:val="24"/>
          <w:highlight w:val="black"/>
          <w:lang w:val="es-ES_tradnl" w:eastAsia="es-ES"/>
        </w:rPr>
        <w:t>---</w:t>
      </w:r>
      <w:r w:rsidR="008C5ABE" w:rsidRPr="008C5ABE">
        <w:rPr>
          <w:rFonts w:ascii="Palatino Linotype" w:eastAsia="MS Mincho" w:hAnsi="Palatino Linotype" w:cs="Arial"/>
          <w:b/>
          <w:sz w:val="24"/>
          <w:szCs w:val="24"/>
          <w:highlight w:val="black"/>
          <w:lang w:val="es-ES_tradnl" w:eastAsia="es-ES"/>
        </w:rPr>
        <w:t>-----------------</w:t>
      </w:r>
      <w:r w:rsidRPr="00B50274">
        <w:rPr>
          <w:rFonts w:ascii="Palatino Linotype" w:hAnsi="Palatino Linotype"/>
          <w:b/>
          <w:sz w:val="24"/>
        </w:rPr>
        <w:t xml:space="preserve"> </w:t>
      </w:r>
      <w:r w:rsidRPr="00B50274">
        <w:rPr>
          <w:rFonts w:ascii="Palatino Linotype" w:eastAsia="MS Mincho" w:hAnsi="Palatino Linotype" w:cs="Times New Roman"/>
          <w:color w:val="000000"/>
          <w:sz w:val="24"/>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914E9A" w:rsidRPr="00B50274" w:rsidRDefault="00914E9A" w:rsidP="00914E9A">
      <w:pPr>
        <w:pStyle w:val="Prrafodelista"/>
        <w:spacing w:line="360" w:lineRule="auto"/>
        <w:ind w:left="0"/>
        <w:jc w:val="both"/>
        <w:rPr>
          <w:rFonts w:ascii="Palatino Linotype" w:hAnsi="Palatino Linotype" w:cs="Arial"/>
          <w:color w:val="000000" w:themeColor="text1"/>
          <w:sz w:val="24"/>
          <w:szCs w:val="24"/>
        </w:rPr>
      </w:pPr>
      <w:r w:rsidRPr="00B50274">
        <w:rPr>
          <w:rFonts w:ascii="Palatino Linotype" w:hAnsi="Palatino Linotype"/>
          <w:color w:val="000000" w:themeColor="text1"/>
          <w:sz w:val="24"/>
          <w:szCs w:val="24"/>
        </w:rPr>
        <w:t>ASÍ LO RESUELVE, POR UNANIMIDAD DE VOTOS, EL PLENO DEL INSTITUTO DE TRANSPARENCIA, ACCESO A LA INFORMACIÓN PÚBLICA Y PROTECCIÓN DE DATOS PERSONALES DEL ESTADO DE MÉXICO Y MUNICIPIOS, CONFORMADO POR LOS COMISIONADOS ZULEMA MARTÍNEZ SÁNCHEZ EMITIENDO VOTO PARTICULAR; EVA ABAID YAPUR CON AUSENCIA JUSTIFICADA; JOSÉ GUADALUPE LUNA HERNÁNDEZ Y JAVIER MARTÍNEZ CRUZ; EN LA VIGÉSIMA OCTAVA SESIÓN ORDINARIA CELEBRADA EL OCHO (8) DE AGOSTO DE DOS MIL DIECIOCHO, ANTE EL SECRETARIO TÉCNICO DEL PLENO, ALEXIS TAPIA RAMÍREZ.</w:t>
      </w: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541"/>
      </w:tblGrid>
      <w:tr w:rsidR="00914E9A" w:rsidRPr="00B50274" w:rsidTr="007E77A8">
        <w:trPr>
          <w:trHeight w:val="1807"/>
        </w:trPr>
        <w:tc>
          <w:tcPr>
            <w:tcW w:w="9073" w:type="dxa"/>
            <w:gridSpan w:val="2"/>
            <w:vAlign w:val="center"/>
          </w:tcPr>
          <w:p w:rsidR="00914E9A" w:rsidRPr="00B50274" w:rsidRDefault="00914E9A" w:rsidP="00914E9A">
            <w:pPr>
              <w:rPr>
                <w:rFonts w:ascii="Palatino Linotype" w:hAnsi="Palatino Linotype" w:cs="Times New Roman"/>
                <w:b/>
                <w:color w:val="000000" w:themeColor="text1"/>
              </w:rPr>
            </w:pPr>
          </w:p>
          <w:p w:rsidR="00914E9A" w:rsidRPr="00B50274" w:rsidRDefault="00914E9A" w:rsidP="007E77A8">
            <w:pPr>
              <w:jc w:val="center"/>
              <w:rPr>
                <w:rFonts w:ascii="Palatino Linotype" w:hAnsi="Palatino Linotype" w:cs="Times New Roman"/>
                <w:b/>
                <w:color w:val="000000" w:themeColor="text1"/>
              </w:rPr>
            </w:pPr>
          </w:p>
          <w:p w:rsidR="00914E9A" w:rsidRPr="00B50274" w:rsidRDefault="00914E9A" w:rsidP="007E77A8">
            <w:pPr>
              <w:jc w:val="center"/>
              <w:rPr>
                <w:rFonts w:ascii="Palatino Linotype" w:hAnsi="Palatino Linotype" w:cs="Times New Roman"/>
                <w:b/>
                <w:color w:val="000000" w:themeColor="text1"/>
              </w:rPr>
            </w:pPr>
            <w:r w:rsidRPr="00B50274">
              <w:rPr>
                <w:rFonts w:ascii="Palatino Linotype" w:hAnsi="Palatino Linotype" w:cs="Times New Roman"/>
                <w:b/>
                <w:color w:val="000000" w:themeColor="text1"/>
              </w:rPr>
              <w:t>Zulema Martínez Sánchez</w:t>
            </w:r>
          </w:p>
          <w:p w:rsidR="00914E9A" w:rsidRPr="00B50274" w:rsidRDefault="00914E9A" w:rsidP="007E77A8">
            <w:pPr>
              <w:jc w:val="center"/>
              <w:rPr>
                <w:rFonts w:ascii="Palatino Linotype" w:hAnsi="Palatino Linotype"/>
                <w:color w:val="000000" w:themeColor="text1"/>
              </w:rPr>
            </w:pPr>
            <w:r w:rsidRPr="00B50274">
              <w:rPr>
                <w:rFonts w:ascii="Palatino Linotype" w:hAnsi="Palatino Linotype"/>
                <w:color w:val="000000" w:themeColor="text1"/>
              </w:rPr>
              <w:t>Comisionada Presidenta</w:t>
            </w:r>
          </w:p>
          <w:p w:rsidR="00914E9A" w:rsidRPr="00B50274" w:rsidRDefault="00914E9A" w:rsidP="007E77A8">
            <w:pPr>
              <w:jc w:val="center"/>
              <w:rPr>
                <w:rFonts w:ascii="Palatino Linotype" w:hAnsi="Palatino Linotype"/>
                <w:color w:val="000000" w:themeColor="text1"/>
              </w:rPr>
            </w:pPr>
            <w:r w:rsidRPr="00B50274">
              <w:rPr>
                <w:rFonts w:ascii="Palatino Linotype" w:hAnsi="Palatino Linotype" w:cs="Times New Roman"/>
                <w:color w:val="000000" w:themeColor="text1"/>
              </w:rPr>
              <w:t>(Rúbrica)</w:t>
            </w:r>
          </w:p>
        </w:tc>
      </w:tr>
      <w:tr w:rsidR="00914E9A" w:rsidRPr="00B50274" w:rsidTr="007E77A8">
        <w:trPr>
          <w:trHeight w:val="1702"/>
        </w:trPr>
        <w:tc>
          <w:tcPr>
            <w:tcW w:w="4532" w:type="dxa"/>
            <w:vAlign w:val="center"/>
          </w:tcPr>
          <w:p w:rsidR="00914E9A" w:rsidRPr="00B50274" w:rsidRDefault="00914E9A" w:rsidP="00914E9A">
            <w:pPr>
              <w:rPr>
                <w:rFonts w:ascii="Palatino Linotype" w:hAnsi="Palatino Linotype" w:cs="Times New Roman"/>
                <w:b/>
                <w:color w:val="000000" w:themeColor="text1"/>
              </w:rPr>
            </w:pPr>
          </w:p>
          <w:p w:rsidR="00914E9A" w:rsidRPr="00B50274" w:rsidRDefault="00914E9A" w:rsidP="007E77A8">
            <w:pPr>
              <w:jc w:val="center"/>
              <w:rPr>
                <w:rFonts w:ascii="Palatino Linotype" w:hAnsi="Palatino Linotype" w:cs="Times New Roman"/>
                <w:b/>
                <w:color w:val="000000" w:themeColor="text1"/>
              </w:rPr>
            </w:pPr>
          </w:p>
          <w:p w:rsidR="00914E9A" w:rsidRPr="00B50274" w:rsidRDefault="00914E9A" w:rsidP="007E77A8">
            <w:pPr>
              <w:jc w:val="center"/>
              <w:rPr>
                <w:rFonts w:ascii="Palatino Linotype" w:hAnsi="Palatino Linotype" w:cs="Times New Roman"/>
                <w:b/>
                <w:color w:val="000000" w:themeColor="text1"/>
              </w:rPr>
            </w:pPr>
          </w:p>
          <w:p w:rsidR="00914E9A" w:rsidRPr="00B50274" w:rsidRDefault="00914E9A" w:rsidP="007E77A8">
            <w:pPr>
              <w:jc w:val="center"/>
              <w:rPr>
                <w:rFonts w:ascii="Palatino Linotype" w:hAnsi="Palatino Linotype" w:cs="Times New Roman"/>
                <w:b/>
                <w:color w:val="000000" w:themeColor="text1"/>
              </w:rPr>
            </w:pPr>
            <w:r w:rsidRPr="00B50274">
              <w:rPr>
                <w:rFonts w:ascii="Palatino Linotype" w:hAnsi="Palatino Linotype" w:cs="Times New Roman"/>
                <w:b/>
                <w:color w:val="000000" w:themeColor="text1"/>
              </w:rPr>
              <w:t xml:space="preserve">Eva </w:t>
            </w:r>
            <w:proofErr w:type="spellStart"/>
            <w:r w:rsidRPr="00B50274">
              <w:rPr>
                <w:rFonts w:ascii="Palatino Linotype" w:hAnsi="Palatino Linotype" w:cs="Times New Roman"/>
                <w:b/>
                <w:color w:val="000000" w:themeColor="text1"/>
              </w:rPr>
              <w:t>Abaid</w:t>
            </w:r>
            <w:proofErr w:type="spellEnd"/>
            <w:r w:rsidRPr="00B50274">
              <w:rPr>
                <w:rFonts w:ascii="Palatino Linotype" w:hAnsi="Palatino Linotype" w:cs="Times New Roman"/>
                <w:b/>
                <w:color w:val="000000" w:themeColor="text1"/>
              </w:rPr>
              <w:t xml:space="preserve"> </w:t>
            </w:r>
            <w:proofErr w:type="spellStart"/>
            <w:r w:rsidRPr="00B50274">
              <w:rPr>
                <w:rFonts w:ascii="Palatino Linotype" w:hAnsi="Palatino Linotype" w:cs="Times New Roman"/>
                <w:b/>
                <w:color w:val="000000" w:themeColor="text1"/>
              </w:rPr>
              <w:t>Yapur</w:t>
            </w:r>
            <w:proofErr w:type="spellEnd"/>
          </w:p>
          <w:p w:rsidR="00914E9A" w:rsidRPr="00B50274" w:rsidRDefault="00914E9A" w:rsidP="007E77A8">
            <w:pPr>
              <w:jc w:val="center"/>
              <w:rPr>
                <w:rFonts w:ascii="Palatino Linotype" w:hAnsi="Palatino Linotype" w:cs="Times New Roman"/>
                <w:color w:val="000000" w:themeColor="text1"/>
              </w:rPr>
            </w:pPr>
            <w:r w:rsidRPr="00B50274">
              <w:rPr>
                <w:rFonts w:ascii="Palatino Linotype" w:hAnsi="Palatino Linotype" w:cs="Times New Roman"/>
                <w:color w:val="000000" w:themeColor="text1"/>
              </w:rPr>
              <w:t>Comisionada</w:t>
            </w:r>
          </w:p>
          <w:p w:rsidR="00914E9A" w:rsidRPr="00B50274" w:rsidRDefault="00914E9A" w:rsidP="007E77A8">
            <w:pPr>
              <w:jc w:val="center"/>
              <w:rPr>
                <w:rFonts w:ascii="Palatino Linotype" w:hAnsi="Palatino Linotype" w:cs="Times New Roman"/>
                <w:color w:val="000000" w:themeColor="text1"/>
              </w:rPr>
            </w:pPr>
            <w:r w:rsidRPr="00B50274">
              <w:rPr>
                <w:rFonts w:ascii="Palatino Linotype" w:hAnsi="Palatino Linotype" w:cs="Times New Roman"/>
                <w:color w:val="000000" w:themeColor="text1"/>
              </w:rPr>
              <w:t>(Ausencia Justificada)</w:t>
            </w:r>
          </w:p>
        </w:tc>
        <w:tc>
          <w:tcPr>
            <w:tcW w:w="4541" w:type="dxa"/>
            <w:vAlign w:val="center"/>
          </w:tcPr>
          <w:p w:rsidR="00914E9A" w:rsidRPr="00B50274" w:rsidRDefault="00914E9A" w:rsidP="00914E9A">
            <w:pPr>
              <w:rPr>
                <w:rFonts w:ascii="Palatino Linotype" w:hAnsi="Palatino Linotype" w:cs="Times New Roman"/>
                <w:b/>
                <w:color w:val="000000" w:themeColor="text1"/>
              </w:rPr>
            </w:pPr>
          </w:p>
          <w:p w:rsidR="00914E9A" w:rsidRPr="00B50274" w:rsidRDefault="00914E9A" w:rsidP="007E77A8">
            <w:pPr>
              <w:jc w:val="center"/>
              <w:rPr>
                <w:rFonts w:ascii="Palatino Linotype" w:hAnsi="Palatino Linotype" w:cs="Times New Roman"/>
                <w:b/>
                <w:color w:val="000000" w:themeColor="text1"/>
              </w:rPr>
            </w:pPr>
          </w:p>
          <w:p w:rsidR="00914E9A" w:rsidRPr="00B50274" w:rsidRDefault="00914E9A" w:rsidP="007E77A8">
            <w:pPr>
              <w:jc w:val="center"/>
              <w:rPr>
                <w:rFonts w:ascii="Palatino Linotype" w:hAnsi="Palatino Linotype" w:cs="Times New Roman"/>
                <w:b/>
                <w:color w:val="000000" w:themeColor="text1"/>
              </w:rPr>
            </w:pPr>
          </w:p>
          <w:p w:rsidR="00914E9A" w:rsidRPr="00B50274" w:rsidRDefault="00914E9A" w:rsidP="007E77A8">
            <w:pPr>
              <w:jc w:val="center"/>
              <w:rPr>
                <w:rFonts w:ascii="Palatino Linotype" w:hAnsi="Palatino Linotype" w:cs="Times New Roman"/>
                <w:b/>
                <w:color w:val="000000" w:themeColor="text1"/>
              </w:rPr>
            </w:pPr>
            <w:r w:rsidRPr="00B50274">
              <w:rPr>
                <w:rFonts w:ascii="Palatino Linotype" w:hAnsi="Palatino Linotype" w:cs="Times New Roman"/>
                <w:b/>
                <w:color w:val="000000" w:themeColor="text1"/>
              </w:rPr>
              <w:t>José Guadalupe Luna Hernández</w:t>
            </w:r>
          </w:p>
          <w:p w:rsidR="00914E9A" w:rsidRPr="00B50274" w:rsidRDefault="00914E9A" w:rsidP="007E77A8">
            <w:pPr>
              <w:jc w:val="center"/>
              <w:rPr>
                <w:rFonts w:ascii="Palatino Linotype" w:hAnsi="Palatino Linotype" w:cs="Times New Roman"/>
                <w:color w:val="000000" w:themeColor="text1"/>
              </w:rPr>
            </w:pPr>
            <w:r w:rsidRPr="00B50274">
              <w:rPr>
                <w:rFonts w:ascii="Palatino Linotype" w:hAnsi="Palatino Linotype" w:cs="Times New Roman"/>
                <w:color w:val="000000" w:themeColor="text1"/>
              </w:rPr>
              <w:t>Comisionado</w:t>
            </w:r>
          </w:p>
          <w:p w:rsidR="00914E9A" w:rsidRPr="00B50274" w:rsidRDefault="00914E9A" w:rsidP="007E77A8">
            <w:pPr>
              <w:jc w:val="center"/>
              <w:rPr>
                <w:rFonts w:ascii="Palatino Linotype" w:hAnsi="Palatino Linotype" w:cs="Times New Roman"/>
                <w:color w:val="000000" w:themeColor="text1"/>
              </w:rPr>
            </w:pPr>
            <w:r w:rsidRPr="00B50274">
              <w:rPr>
                <w:rFonts w:ascii="Palatino Linotype" w:hAnsi="Palatino Linotype" w:cs="Times New Roman"/>
                <w:color w:val="000000" w:themeColor="text1"/>
              </w:rPr>
              <w:t>(Rúbrica)</w:t>
            </w:r>
          </w:p>
        </w:tc>
      </w:tr>
      <w:tr w:rsidR="00914E9A" w:rsidRPr="00B50274" w:rsidTr="007E77A8">
        <w:trPr>
          <w:trHeight w:val="1648"/>
        </w:trPr>
        <w:tc>
          <w:tcPr>
            <w:tcW w:w="9073" w:type="dxa"/>
            <w:gridSpan w:val="2"/>
            <w:vAlign w:val="center"/>
          </w:tcPr>
          <w:p w:rsidR="00914E9A" w:rsidRPr="00B50274" w:rsidRDefault="00914E9A" w:rsidP="007E77A8">
            <w:pPr>
              <w:jc w:val="center"/>
              <w:rPr>
                <w:rFonts w:ascii="Palatino Linotype" w:hAnsi="Palatino Linotype" w:cs="Times New Roman"/>
                <w:b/>
                <w:color w:val="000000" w:themeColor="text1"/>
              </w:rPr>
            </w:pPr>
          </w:p>
          <w:p w:rsidR="00914E9A" w:rsidRPr="00B50274" w:rsidRDefault="00914E9A" w:rsidP="007E77A8">
            <w:pPr>
              <w:jc w:val="center"/>
              <w:rPr>
                <w:rFonts w:ascii="Palatino Linotype" w:hAnsi="Palatino Linotype" w:cs="Times New Roman"/>
                <w:b/>
                <w:color w:val="000000" w:themeColor="text1"/>
              </w:rPr>
            </w:pPr>
          </w:p>
          <w:p w:rsidR="00914E9A" w:rsidRPr="00B50274" w:rsidRDefault="00914E9A" w:rsidP="007E77A8">
            <w:pPr>
              <w:jc w:val="center"/>
              <w:rPr>
                <w:rFonts w:ascii="Palatino Linotype" w:hAnsi="Palatino Linotype" w:cs="Times New Roman"/>
                <w:b/>
                <w:color w:val="000000" w:themeColor="text1"/>
              </w:rPr>
            </w:pPr>
          </w:p>
          <w:p w:rsidR="00914E9A" w:rsidRPr="00B50274" w:rsidRDefault="00914E9A" w:rsidP="00914E9A">
            <w:pPr>
              <w:rPr>
                <w:rFonts w:ascii="Palatino Linotype" w:hAnsi="Palatino Linotype" w:cs="Times New Roman"/>
                <w:b/>
                <w:color w:val="000000" w:themeColor="text1"/>
              </w:rPr>
            </w:pPr>
          </w:p>
          <w:p w:rsidR="00914E9A" w:rsidRPr="00B50274" w:rsidRDefault="00914E9A" w:rsidP="007E77A8">
            <w:pPr>
              <w:jc w:val="center"/>
              <w:rPr>
                <w:rFonts w:ascii="Palatino Linotype" w:hAnsi="Palatino Linotype" w:cs="Times New Roman"/>
                <w:b/>
                <w:color w:val="000000" w:themeColor="text1"/>
              </w:rPr>
            </w:pPr>
          </w:p>
          <w:p w:rsidR="00914E9A" w:rsidRPr="00B50274" w:rsidRDefault="00914E9A" w:rsidP="007E77A8">
            <w:pPr>
              <w:jc w:val="center"/>
              <w:rPr>
                <w:rFonts w:ascii="Palatino Linotype" w:hAnsi="Palatino Linotype" w:cs="Times New Roman"/>
                <w:b/>
                <w:color w:val="000000" w:themeColor="text1"/>
              </w:rPr>
            </w:pPr>
          </w:p>
          <w:p w:rsidR="00914E9A" w:rsidRPr="00B50274" w:rsidRDefault="00914E9A" w:rsidP="007E77A8">
            <w:pPr>
              <w:jc w:val="center"/>
              <w:rPr>
                <w:rFonts w:ascii="Palatino Linotype" w:hAnsi="Palatino Linotype" w:cs="Times New Roman"/>
                <w:b/>
                <w:color w:val="000000" w:themeColor="text1"/>
              </w:rPr>
            </w:pPr>
          </w:p>
          <w:p w:rsidR="00914E9A" w:rsidRPr="00B50274" w:rsidRDefault="00914E9A" w:rsidP="007E77A8">
            <w:pPr>
              <w:jc w:val="center"/>
              <w:rPr>
                <w:rFonts w:ascii="Palatino Linotype" w:hAnsi="Palatino Linotype" w:cs="Times New Roman"/>
                <w:b/>
                <w:color w:val="000000" w:themeColor="text1"/>
              </w:rPr>
            </w:pPr>
            <w:r w:rsidRPr="00B50274">
              <w:rPr>
                <w:rFonts w:ascii="Palatino Linotype" w:hAnsi="Palatino Linotype" w:cs="Times New Roman"/>
                <w:b/>
                <w:color w:val="000000" w:themeColor="text1"/>
              </w:rPr>
              <w:t>Javier Martínez Cruz</w:t>
            </w:r>
          </w:p>
          <w:p w:rsidR="00914E9A" w:rsidRPr="00B50274" w:rsidRDefault="00914E9A" w:rsidP="007E77A8">
            <w:pPr>
              <w:jc w:val="center"/>
              <w:rPr>
                <w:rFonts w:ascii="Palatino Linotype" w:hAnsi="Palatino Linotype" w:cs="Times New Roman"/>
                <w:color w:val="000000" w:themeColor="text1"/>
              </w:rPr>
            </w:pPr>
            <w:r w:rsidRPr="00B50274">
              <w:rPr>
                <w:rFonts w:ascii="Palatino Linotype" w:hAnsi="Palatino Linotype" w:cs="Times New Roman"/>
                <w:color w:val="000000" w:themeColor="text1"/>
              </w:rPr>
              <w:t>Comisionado</w:t>
            </w:r>
          </w:p>
          <w:p w:rsidR="00914E9A" w:rsidRPr="00B50274" w:rsidRDefault="00914E9A" w:rsidP="007E77A8">
            <w:pPr>
              <w:jc w:val="center"/>
              <w:rPr>
                <w:rFonts w:ascii="Palatino Linotype" w:hAnsi="Palatino Linotype" w:cs="Times New Roman"/>
                <w:color w:val="000000" w:themeColor="text1"/>
              </w:rPr>
            </w:pPr>
            <w:r w:rsidRPr="00B50274">
              <w:rPr>
                <w:rFonts w:ascii="Palatino Linotype" w:hAnsi="Palatino Linotype" w:cs="Times New Roman"/>
                <w:color w:val="000000" w:themeColor="text1"/>
              </w:rPr>
              <w:t>(Rúbrica)</w:t>
            </w:r>
          </w:p>
        </w:tc>
      </w:tr>
      <w:tr w:rsidR="00914E9A" w:rsidRPr="00B50274" w:rsidTr="007E77A8">
        <w:trPr>
          <w:trHeight w:val="1557"/>
        </w:trPr>
        <w:tc>
          <w:tcPr>
            <w:tcW w:w="9073" w:type="dxa"/>
            <w:gridSpan w:val="2"/>
            <w:vAlign w:val="center"/>
          </w:tcPr>
          <w:p w:rsidR="00914E9A" w:rsidRPr="00B50274" w:rsidRDefault="00914E9A" w:rsidP="007E77A8">
            <w:pPr>
              <w:jc w:val="center"/>
              <w:rPr>
                <w:rFonts w:ascii="Palatino Linotype" w:hAnsi="Palatino Linotype" w:cs="Times New Roman"/>
                <w:b/>
                <w:color w:val="000000" w:themeColor="text1"/>
              </w:rPr>
            </w:pPr>
          </w:p>
          <w:p w:rsidR="00914E9A" w:rsidRPr="00B50274" w:rsidRDefault="00914E9A" w:rsidP="007E77A8">
            <w:pPr>
              <w:jc w:val="center"/>
              <w:rPr>
                <w:rFonts w:ascii="Palatino Linotype" w:hAnsi="Palatino Linotype" w:cs="Times New Roman"/>
                <w:b/>
                <w:color w:val="000000" w:themeColor="text1"/>
              </w:rPr>
            </w:pPr>
          </w:p>
          <w:p w:rsidR="00914E9A" w:rsidRPr="00B50274" w:rsidRDefault="00914E9A" w:rsidP="007E77A8">
            <w:pPr>
              <w:jc w:val="center"/>
              <w:rPr>
                <w:rFonts w:ascii="Palatino Linotype" w:hAnsi="Palatino Linotype" w:cs="Times New Roman"/>
                <w:b/>
                <w:color w:val="000000" w:themeColor="text1"/>
              </w:rPr>
            </w:pPr>
          </w:p>
          <w:p w:rsidR="00914E9A" w:rsidRPr="00B50274" w:rsidRDefault="00914E9A" w:rsidP="007E77A8">
            <w:pPr>
              <w:jc w:val="center"/>
              <w:rPr>
                <w:rFonts w:ascii="Palatino Linotype" w:hAnsi="Palatino Linotype" w:cs="Times New Roman"/>
                <w:b/>
                <w:color w:val="000000" w:themeColor="text1"/>
              </w:rPr>
            </w:pPr>
          </w:p>
          <w:p w:rsidR="00914E9A" w:rsidRPr="00B50274" w:rsidRDefault="00914E9A" w:rsidP="007E77A8">
            <w:pPr>
              <w:jc w:val="center"/>
              <w:rPr>
                <w:rFonts w:ascii="Palatino Linotype" w:hAnsi="Palatino Linotype" w:cs="Times New Roman"/>
                <w:b/>
                <w:color w:val="000000" w:themeColor="text1"/>
              </w:rPr>
            </w:pPr>
          </w:p>
          <w:p w:rsidR="00914E9A" w:rsidRPr="00B50274" w:rsidRDefault="00914E9A" w:rsidP="007E77A8">
            <w:pPr>
              <w:jc w:val="center"/>
              <w:rPr>
                <w:rFonts w:ascii="Palatino Linotype" w:hAnsi="Palatino Linotype" w:cs="Times New Roman"/>
                <w:b/>
                <w:color w:val="000000" w:themeColor="text1"/>
              </w:rPr>
            </w:pPr>
            <w:r w:rsidRPr="00B50274">
              <w:rPr>
                <w:rFonts w:ascii="Palatino Linotype" w:hAnsi="Palatino Linotype" w:cs="Times New Roman"/>
                <w:b/>
                <w:color w:val="000000" w:themeColor="text1"/>
              </w:rPr>
              <w:t>Alexis Tapia Ramírez</w:t>
            </w:r>
          </w:p>
          <w:p w:rsidR="00914E9A" w:rsidRPr="00B50274" w:rsidRDefault="00914E9A" w:rsidP="007E77A8">
            <w:pPr>
              <w:jc w:val="center"/>
              <w:rPr>
                <w:rFonts w:ascii="Palatino Linotype" w:hAnsi="Palatino Linotype" w:cs="Times New Roman"/>
                <w:color w:val="000000" w:themeColor="text1"/>
              </w:rPr>
            </w:pPr>
            <w:r w:rsidRPr="00B50274">
              <w:rPr>
                <w:rFonts w:ascii="Palatino Linotype" w:hAnsi="Palatino Linotype" w:cs="Times New Roman"/>
                <w:color w:val="000000" w:themeColor="text1"/>
              </w:rPr>
              <w:t>Secretario Técnico del Pleno</w:t>
            </w:r>
          </w:p>
          <w:p w:rsidR="00914E9A" w:rsidRPr="00B50274" w:rsidRDefault="00914E9A" w:rsidP="007E77A8">
            <w:pPr>
              <w:jc w:val="center"/>
              <w:rPr>
                <w:rFonts w:ascii="Palatino Linotype" w:hAnsi="Palatino Linotype" w:cs="Times New Roman"/>
                <w:color w:val="000000" w:themeColor="text1"/>
              </w:rPr>
            </w:pPr>
            <w:r w:rsidRPr="00B50274">
              <w:rPr>
                <w:rFonts w:ascii="Palatino Linotype" w:hAnsi="Palatino Linotype" w:cs="Times New Roman"/>
                <w:color w:val="000000" w:themeColor="text1"/>
              </w:rPr>
              <w:t>(Rúbrica)</w:t>
            </w:r>
          </w:p>
          <w:p w:rsidR="00914E9A" w:rsidRPr="00B50274" w:rsidRDefault="00914E9A" w:rsidP="007E77A8">
            <w:pPr>
              <w:jc w:val="center"/>
              <w:rPr>
                <w:rFonts w:ascii="Palatino Linotype" w:hAnsi="Palatino Linotype" w:cs="Times New Roman"/>
                <w:color w:val="000000" w:themeColor="text1"/>
              </w:rPr>
            </w:pPr>
          </w:p>
        </w:tc>
      </w:tr>
    </w:tbl>
    <w:p w:rsidR="00914E9A" w:rsidRPr="00914E9A" w:rsidRDefault="00914E9A" w:rsidP="00914E9A">
      <w:pPr>
        <w:rPr>
          <w:sz w:val="24"/>
          <w:szCs w:val="24"/>
        </w:rPr>
      </w:pPr>
      <w:r w:rsidRPr="00B50274">
        <w:rPr>
          <w:rFonts w:ascii="Palatino Linotype" w:hAnsi="Palatino Linotype" w:cs="Arial"/>
          <w:color w:val="000000" w:themeColor="text1"/>
          <w:sz w:val="24"/>
          <w:szCs w:val="24"/>
        </w:rPr>
        <w:t xml:space="preserve">Esta hoja corresponde a la resolución de ocho (08) de agosto de dos mil dieciocho emitida en el recurso de revisión </w:t>
      </w:r>
      <w:r w:rsidRPr="00B50274">
        <w:rPr>
          <w:rFonts w:ascii="Palatino Linotype" w:hAnsi="Palatino Linotype" w:cs="Arial"/>
          <w:b/>
          <w:bCs/>
          <w:sz w:val="24"/>
          <w:szCs w:val="24"/>
          <w:lang w:eastAsia="es-MX"/>
        </w:rPr>
        <w:t>02173/INFOEM/IP/RR/2018.</w:t>
      </w:r>
    </w:p>
    <w:p w:rsidR="00DE6AF4" w:rsidRPr="00914E9A" w:rsidRDefault="00DE6AF4" w:rsidP="00723A8D">
      <w:pPr>
        <w:jc w:val="both"/>
        <w:rPr>
          <w:sz w:val="24"/>
          <w:szCs w:val="24"/>
        </w:rPr>
      </w:pPr>
    </w:p>
    <w:sectPr w:rsidR="00DE6AF4" w:rsidRPr="00914E9A" w:rsidSect="009A4582">
      <w:headerReference w:type="default" r:id="rId17"/>
      <w:footerReference w:type="default" r:id="rId18"/>
      <w:headerReference w:type="first" r:id="rId19"/>
      <w:footerReference w:type="first" r:id="rId20"/>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7005" w:rsidRDefault="00007005" w:rsidP="00792776">
      <w:pPr>
        <w:spacing w:after="0" w:line="240" w:lineRule="auto"/>
      </w:pPr>
      <w:r>
        <w:separator/>
      </w:r>
    </w:p>
  </w:endnote>
  <w:endnote w:type="continuationSeparator" w:id="0">
    <w:p w:rsidR="00007005" w:rsidRDefault="00007005" w:rsidP="007927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A45275" w:rsidRPr="00883450" w:rsidRDefault="00A45275" w:rsidP="009A4582">
            <w:pPr>
              <w:pStyle w:val="Piedepgina"/>
              <w:tabs>
                <w:tab w:val="left" w:pos="5240"/>
                <w:tab w:val="right" w:pos="8789"/>
              </w:tabs>
              <w:rPr>
                <w:rFonts w:ascii="Palatino Linotype" w:hAnsi="Palatino Linotype"/>
                <w:sz w:val="28"/>
              </w:rPr>
            </w:pPr>
            <w:r>
              <w:rPr>
                <w:rFonts w:ascii="Palatino Linotype" w:hAnsi="Palatino Linotype"/>
                <w:sz w:val="28"/>
              </w:rPr>
              <w:tab/>
            </w:r>
            <w:r>
              <w:rPr>
                <w:rFonts w:ascii="Palatino Linotype" w:hAnsi="Palatino Linotype"/>
                <w:sz w:val="28"/>
              </w:rPr>
              <w:tab/>
            </w:r>
            <w:r>
              <w:rPr>
                <w:rFonts w:ascii="Palatino Linotype" w:hAnsi="Palatino Linotype"/>
                <w:sz w:val="28"/>
              </w:rPr>
              <w:tab/>
            </w: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1B04F5">
              <w:rPr>
                <w:rFonts w:ascii="Palatino Linotype" w:hAnsi="Palatino Linotype"/>
                <w:b/>
                <w:bCs/>
                <w:noProof/>
                <w:szCs w:val="20"/>
              </w:rPr>
              <w:t>2</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1B04F5">
              <w:rPr>
                <w:rFonts w:ascii="Palatino Linotype" w:hAnsi="Palatino Linotype"/>
                <w:b/>
                <w:bCs/>
                <w:noProof/>
                <w:szCs w:val="20"/>
              </w:rPr>
              <w:t>46</w:t>
            </w:r>
            <w:r w:rsidRPr="00883450">
              <w:rPr>
                <w:rFonts w:ascii="Palatino Linotype" w:hAnsi="Palatino Linotype"/>
                <w:b/>
                <w:bCs/>
                <w:szCs w:val="20"/>
              </w:rPr>
              <w:fldChar w:fldCharType="end"/>
            </w:r>
          </w:p>
        </w:sdtContent>
      </w:sdt>
    </w:sdtContent>
  </w:sdt>
  <w:p w:rsidR="00A45275" w:rsidRDefault="00A4527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5275" w:rsidRPr="00883450" w:rsidRDefault="00A45275" w:rsidP="009A4582">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1B04F5" w:rsidRPr="001B04F5">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1B04F5" w:rsidRPr="001B04F5">
      <w:rPr>
        <w:rFonts w:ascii="Palatino Linotype" w:hAnsi="Palatino Linotype"/>
        <w:noProof/>
        <w:lang w:val="es-ES"/>
      </w:rPr>
      <w:t>46</w:t>
    </w:r>
    <w:r w:rsidRPr="00883450">
      <w:rPr>
        <w:rFonts w:ascii="Palatino Linotype" w:hAnsi="Palatino Linotype"/>
      </w:rPr>
      <w:fldChar w:fldCharType="end"/>
    </w:r>
  </w:p>
  <w:p w:rsidR="00A45275" w:rsidRPr="00883450" w:rsidRDefault="00A45275">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7005" w:rsidRDefault="00007005" w:rsidP="00792776">
      <w:pPr>
        <w:spacing w:after="0" w:line="240" w:lineRule="auto"/>
      </w:pPr>
      <w:r>
        <w:separator/>
      </w:r>
    </w:p>
  </w:footnote>
  <w:footnote w:type="continuationSeparator" w:id="0">
    <w:p w:rsidR="00007005" w:rsidRDefault="00007005" w:rsidP="00792776">
      <w:pPr>
        <w:spacing w:after="0" w:line="240" w:lineRule="auto"/>
      </w:pPr>
      <w:r>
        <w:continuationSeparator/>
      </w:r>
    </w:p>
  </w:footnote>
  <w:footnote w:id="1">
    <w:p w:rsidR="00A45275" w:rsidRDefault="00A45275" w:rsidP="00425395">
      <w:pPr>
        <w:pStyle w:val="Textonotapie"/>
      </w:pPr>
      <w:r>
        <w:rPr>
          <w:rStyle w:val="Refdenotaalpie"/>
        </w:rPr>
        <w:footnoteRef/>
      </w:r>
      <w:r>
        <w:t xml:space="preserve"> Artículo 165 </w:t>
      </w:r>
      <w:r w:rsidRPr="003337EE">
        <w:t>Ley de Transparencia y Acceso a la Información Pública del Estado de México y Municipios</w:t>
      </w:r>
    </w:p>
  </w:footnote>
  <w:footnote w:id="2">
    <w:p w:rsidR="00A45275" w:rsidRPr="00034B44" w:rsidRDefault="00A45275" w:rsidP="003D02D4">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Ningún derecho fundamental es absoluto y en esa medida todos admiten restricciones. Sin embargo, la regulación de dichas restricciones no puede ser arbitraria. Para que las medidas emitidas por el legislador ordinario con el propósito de restringir los derechos fundamentales sean válidas, deben satisfacer al menos los siguientes requisitos: a) ser admisibles dentro del ámbito constitucional, esto es, el legislador ordinario solo puede restringir o suspender el ejercicio de las garantizas individuales con objetivos que puedan enmarcarse dentro de las previsiones de la Carta Magna; b) ser necesarias para asegurar la obtención de los fines que fundamentan la restricción constitucional, es decir, no basta que la restricción sea en términos amplios útil para la obtención de esos objetivos, sino que debe ser la idónea para su realización,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persecución de un objetivo constitucional no puede hacerse a costa de una afectación innecesaria o desmedida a otros bienes y derechos constitucionalmente protegidos. Así́, el juzgador debe determinar en cada caso si la restricción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distinción legislativa se encuentra dentro de las opciones de tratamiento que pueden considerarse proporcionales. De igual manera, las restricciones deberán estar en consonancia con la ley, incluidas las normas internacionales de derechos humanos, y ser compatibles con la naturaleza de los derechos amparados por la Constitución, en aras de la consecución de los objetivos legítimos perseguidos, y ser estrictamente necesarias para promover el bienestar general en una sociedad democrática. </w:t>
      </w:r>
    </w:p>
    <w:p w:rsidR="00A45275" w:rsidRPr="00034B44" w:rsidRDefault="00A45275" w:rsidP="003D02D4">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Decima Época. Semanario Judicial de la Federación y su Gaceta. Libro V, Febrero de 2012, Pág. 533.  </w:t>
      </w:r>
    </w:p>
  </w:footnote>
  <w:footnote w:id="3">
    <w:p w:rsidR="00A45275" w:rsidRPr="00034B44" w:rsidRDefault="00A45275" w:rsidP="003D02D4">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4">
    <w:p w:rsidR="00A45275" w:rsidRPr="00034B44" w:rsidRDefault="00A45275" w:rsidP="003D02D4">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A45275" w:rsidRPr="00034B44" w:rsidRDefault="00A45275" w:rsidP="003D02D4">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A45275" w:rsidRPr="00034B44" w:rsidRDefault="00A45275" w:rsidP="003D02D4">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5">
    <w:p w:rsidR="00A45275" w:rsidRPr="00034B44" w:rsidRDefault="00A45275" w:rsidP="003D02D4">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6">
    <w:p w:rsidR="00A45275" w:rsidRPr="00034B44" w:rsidRDefault="00A45275" w:rsidP="003D02D4">
      <w:pPr>
        <w:pStyle w:val="Textonotapie"/>
        <w:jc w:val="both"/>
        <w:rPr>
          <w:rFonts w:ascii="Palatino Linotype" w:hAnsi="Palatino Linotype"/>
          <w:sz w:val="18"/>
        </w:rPr>
      </w:pPr>
      <w:r w:rsidRPr="00034B44">
        <w:rPr>
          <w:rStyle w:val="Refdenotaalpie"/>
          <w:rFonts w:ascii="Palatino Linotype" w:hAnsi="Palatino Linotype"/>
        </w:rPr>
        <w:footnoteRef/>
      </w:r>
      <w:r w:rsidRPr="00034B44">
        <w:rPr>
          <w:rFonts w:ascii="Palatino Linotype" w:hAnsi="Palatino Linotype"/>
          <w:sz w:val="18"/>
        </w:rPr>
        <w:t xml:space="preserve"> Artículo 3. Para los efectos de la presente Ley se entenderá por:</w:t>
      </w:r>
    </w:p>
    <w:p w:rsidR="00A45275" w:rsidRPr="00034B44" w:rsidRDefault="00A45275" w:rsidP="003D02D4">
      <w:pPr>
        <w:pStyle w:val="Textonotapie"/>
        <w:jc w:val="both"/>
        <w:rPr>
          <w:rFonts w:ascii="Palatino Linotype" w:hAnsi="Palatino Linotype"/>
          <w:sz w:val="18"/>
        </w:rPr>
      </w:pPr>
      <w:r w:rsidRPr="00034B44">
        <w:rPr>
          <w:rFonts w:ascii="Palatino Linotype" w:hAnsi="Palatino Linotype"/>
          <w:sz w:val="18"/>
        </w:rPr>
        <w:t xml:space="preserve"> (…)</w:t>
      </w:r>
    </w:p>
    <w:p w:rsidR="00A45275" w:rsidRPr="00034B44" w:rsidRDefault="00A45275" w:rsidP="003D02D4">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5275" w:rsidRDefault="00A45275">
    <w:pPr>
      <w:pStyle w:val="Encabezado"/>
    </w:pPr>
  </w:p>
  <w:p w:rsidR="00A45275" w:rsidRDefault="00A45275" w:rsidP="009A4582">
    <w:pPr>
      <w:pStyle w:val="Encabezado"/>
      <w:tabs>
        <w:tab w:val="clear" w:pos="4419"/>
        <w:tab w:val="clear" w:pos="8838"/>
        <w:tab w:val="left" w:pos="7283"/>
      </w:tabs>
    </w:pPr>
    <w:r>
      <w:tab/>
    </w:r>
  </w:p>
  <w:tbl>
    <w:tblPr>
      <w:tblStyle w:val="Tablaconcuadrcula"/>
      <w:tblW w:w="679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0"/>
      <w:gridCol w:w="3969"/>
    </w:tblGrid>
    <w:tr w:rsidR="00A45275" w:rsidRPr="00EF13C1" w:rsidTr="00914E9A">
      <w:trPr>
        <w:trHeight w:val="138"/>
        <w:jc w:val="right"/>
      </w:trPr>
      <w:tc>
        <w:tcPr>
          <w:tcW w:w="2830" w:type="dxa"/>
          <w:vAlign w:val="center"/>
        </w:tcPr>
        <w:p w:rsidR="00A45275" w:rsidRPr="00EF13C1" w:rsidRDefault="00A45275" w:rsidP="009A4582">
          <w:pPr>
            <w:rPr>
              <w:rFonts w:ascii="Palatino Linotype" w:hAnsi="Palatino Linotype"/>
              <w:b/>
            </w:rPr>
          </w:pPr>
          <w:r w:rsidRPr="00EF13C1">
            <w:rPr>
              <w:rFonts w:ascii="Palatino Linotype" w:hAnsi="Palatino Linotype"/>
              <w:b/>
            </w:rPr>
            <w:t>Recurso de revisión:</w:t>
          </w:r>
        </w:p>
      </w:tc>
      <w:tc>
        <w:tcPr>
          <w:tcW w:w="3969" w:type="dxa"/>
          <w:vAlign w:val="center"/>
        </w:tcPr>
        <w:p w:rsidR="00A45275" w:rsidRPr="00EF13C1" w:rsidRDefault="00A45275" w:rsidP="00976019">
          <w:pPr>
            <w:pStyle w:val="Encabezado"/>
            <w:jc w:val="right"/>
            <w:rPr>
              <w:rFonts w:ascii="Palatino Linotype" w:hAnsi="Palatino Linotype"/>
              <w:b/>
            </w:rPr>
          </w:pPr>
          <w:r>
            <w:rPr>
              <w:rFonts w:ascii="Palatino Linotype" w:hAnsi="Palatino Linotype" w:cs="Arial"/>
              <w:b/>
              <w:bCs/>
              <w:lang w:eastAsia="es-MX"/>
            </w:rPr>
            <w:t xml:space="preserve">02173/INFOEM/IP/RR/2018 </w:t>
          </w:r>
        </w:p>
      </w:tc>
    </w:tr>
    <w:tr w:rsidR="00A45275" w:rsidRPr="00EF13C1" w:rsidTr="00914E9A">
      <w:trPr>
        <w:trHeight w:val="321"/>
        <w:jc w:val="right"/>
      </w:trPr>
      <w:tc>
        <w:tcPr>
          <w:tcW w:w="2830" w:type="dxa"/>
          <w:vAlign w:val="center"/>
        </w:tcPr>
        <w:p w:rsidR="00A45275" w:rsidRPr="00EF13C1" w:rsidRDefault="00A45275" w:rsidP="009A4582">
          <w:pPr>
            <w:rPr>
              <w:rFonts w:ascii="Palatino Linotype" w:hAnsi="Palatino Linotype"/>
              <w:b/>
            </w:rPr>
          </w:pPr>
          <w:r w:rsidRPr="00EF13C1">
            <w:rPr>
              <w:rFonts w:ascii="Palatino Linotype" w:hAnsi="Palatino Linotype"/>
              <w:b/>
            </w:rPr>
            <w:t>Sujeto obligado:</w:t>
          </w:r>
        </w:p>
      </w:tc>
      <w:tc>
        <w:tcPr>
          <w:tcW w:w="3969" w:type="dxa"/>
          <w:vAlign w:val="center"/>
        </w:tcPr>
        <w:p w:rsidR="00A45275" w:rsidRPr="00EF13C1" w:rsidRDefault="00A45275" w:rsidP="009A4582">
          <w:pPr>
            <w:pStyle w:val="Encabezado"/>
            <w:jc w:val="right"/>
            <w:rPr>
              <w:rFonts w:ascii="Palatino Linotype" w:hAnsi="Palatino Linotype"/>
              <w:b/>
            </w:rPr>
          </w:pPr>
          <w:r w:rsidRPr="009A6419">
            <w:rPr>
              <w:rFonts w:ascii="Palatino Linotype" w:hAnsi="Palatino Linotype"/>
              <w:b/>
            </w:rPr>
            <w:t>Poder Legislativo</w:t>
          </w:r>
        </w:p>
      </w:tc>
    </w:tr>
    <w:tr w:rsidR="00A45275" w:rsidRPr="00EF13C1" w:rsidTr="00914E9A">
      <w:trPr>
        <w:trHeight w:val="321"/>
        <w:jc w:val="right"/>
      </w:trPr>
      <w:tc>
        <w:tcPr>
          <w:tcW w:w="2830" w:type="dxa"/>
          <w:vAlign w:val="center"/>
        </w:tcPr>
        <w:p w:rsidR="00A45275" w:rsidRPr="00EF13C1" w:rsidRDefault="00A45275" w:rsidP="009A4582">
          <w:pPr>
            <w:rPr>
              <w:rFonts w:ascii="Palatino Linotype" w:hAnsi="Palatino Linotype"/>
              <w:b/>
            </w:rPr>
          </w:pPr>
          <w:r w:rsidRPr="00EF13C1">
            <w:rPr>
              <w:rFonts w:ascii="Palatino Linotype" w:hAnsi="Palatino Linotype"/>
              <w:b/>
            </w:rPr>
            <w:t>Comisionado ponente:</w:t>
          </w:r>
        </w:p>
      </w:tc>
      <w:tc>
        <w:tcPr>
          <w:tcW w:w="3969" w:type="dxa"/>
          <w:vAlign w:val="center"/>
        </w:tcPr>
        <w:p w:rsidR="00A45275" w:rsidRPr="00EF13C1" w:rsidRDefault="00A45275" w:rsidP="009A4582">
          <w:pPr>
            <w:pStyle w:val="Encabezado"/>
            <w:jc w:val="right"/>
            <w:rPr>
              <w:rFonts w:ascii="Palatino Linotype" w:hAnsi="Palatino Linotype"/>
              <w:b/>
            </w:rPr>
          </w:pPr>
          <w:r w:rsidRPr="00EF13C1">
            <w:rPr>
              <w:rFonts w:ascii="Palatino Linotype" w:hAnsi="Palatino Linotype"/>
              <w:b/>
            </w:rPr>
            <w:t>José Guadalupe Luna Hernández</w:t>
          </w:r>
        </w:p>
      </w:tc>
    </w:tr>
  </w:tbl>
  <w:p w:rsidR="00A45275" w:rsidRDefault="00A45275" w:rsidP="009A458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5275" w:rsidRDefault="00A45275" w:rsidP="009A4582">
    <w:pPr>
      <w:pStyle w:val="Encabezado"/>
      <w:tabs>
        <w:tab w:val="left" w:pos="3103"/>
      </w:tabs>
    </w:pPr>
    <w:r>
      <w:tab/>
    </w:r>
    <w:r>
      <w:tab/>
    </w:r>
  </w:p>
  <w:tbl>
    <w:tblPr>
      <w:tblStyle w:val="Tablaconcuadrcula"/>
      <w:tblW w:w="7088" w:type="dxa"/>
      <w:tblInd w:w="17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4253"/>
    </w:tblGrid>
    <w:tr w:rsidR="00914E9A" w:rsidRPr="00182113" w:rsidTr="00914E9A">
      <w:trPr>
        <w:trHeight w:val="138"/>
      </w:trPr>
      <w:tc>
        <w:tcPr>
          <w:tcW w:w="2835" w:type="dxa"/>
          <w:vAlign w:val="center"/>
        </w:tcPr>
        <w:p w:rsidR="00914E9A" w:rsidRPr="00182113" w:rsidRDefault="00914E9A" w:rsidP="009A4582">
          <w:pPr>
            <w:rPr>
              <w:rFonts w:ascii="Palatino Linotype" w:hAnsi="Palatino Linotype"/>
              <w:b/>
            </w:rPr>
          </w:pPr>
          <w:r w:rsidRPr="00182113">
            <w:rPr>
              <w:rFonts w:ascii="Palatino Linotype" w:hAnsi="Palatino Linotype"/>
              <w:b/>
            </w:rPr>
            <w:t>Recurso de revisión:</w:t>
          </w:r>
        </w:p>
      </w:tc>
      <w:tc>
        <w:tcPr>
          <w:tcW w:w="4253" w:type="dxa"/>
          <w:vAlign w:val="center"/>
        </w:tcPr>
        <w:p w:rsidR="00914E9A" w:rsidRPr="00182113" w:rsidRDefault="00914E9A" w:rsidP="007010FC">
          <w:pPr>
            <w:pStyle w:val="Encabezado"/>
            <w:rPr>
              <w:rFonts w:ascii="Palatino Linotype" w:hAnsi="Palatino Linotype"/>
              <w:b/>
            </w:rPr>
          </w:pPr>
          <w:r>
            <w:rPr>
              <w:rFonts w:ascii="Palatino Linotype" w:hAnsi="Palatino Linotype" w:cs="Arial"/>
              <w:b/>
              <w:bCs/>
              <w:lang w:eastAsia="es-MX"/>
            </w:rPr>
            <w:t xml:space="preserve">                 02173</w:t>
          </w:r>
          <w:r w:rsidRPr="00182113">
            <w:rPr>
              <w:rFonts w:ascii="Palatino Linotype" w:hAnsi="Palatino Linotype" w:cs="Arial"/>
              <w:b/>
              <w:bCs/>
              <w:lang w:eastAsia="es-MX"/>
            </w:rPr>
            <w:t>/INFOEM/IP/RR/</w:t>
          </w:r>
          <w:r>
            <w:rPr>
              <w:rFonts w:ascii="Palatino Linotype" w:hAnsi="Palatino Linotype" w:cs="Arial"/>
              <w:b/>
              <w:bCs/>
              <w:lang w:eastAsia="es-MX"/>
            </w:rPr>
            <w:t>2018</w:t>
          </w:r>
        </w:p>
      </w:tc>
    </w:tr>
    <w:tr w:rsidR="00914E9A" w:rsidRPr="00182113" w:rsidTr="00914E9A">
      <w:trPr>
        <w:trHeight w:val="227"/>
      </w:trPr>
      <w:tc>
        <w:tcPr>
          <w:tcW w:w="2835" w:type="dxa"/>
          <w:vAlign w:val="center"/>
        </w:tcPr>
        <w:p w:rsidR="00914E9A" w:rsidRPr="00182113" w:rsidRDefault="00914E9A" w:rsidP="009A4582">
          <w:pPr>
            <w:rPr>
              <w:rFonts w:ascii="Palatino Linotype" w:hAnsi="Palatino Linotype"/>
              <w:b/>
            </w:rPr>
          </w:pPr>
          <w:r w:rsidRPr="00182113">
            <w:rPr>
              <w:rFonts w:ascii="Palatino Linotype" w:hAnsi="Palatino Linotype"/>
              <w:b/>
            </w:rPr>
            <w:t>Recurrente:</w:t>
          </w:r>
        </w:p>
      </w:tc>
      <w:tc>
        <w:tcPr>
          <w:tcW w:w="4253" w:type="dxa"/>
          <w:vAlign w:val="center"/>
        </w:tcPr>
        <w:p w:rsidR="00914E9A" w:rsidRPr="00182113" w:rsidRDefault="00914E9A" w:rsidP="00F761EA">
          <w:pPr>
            <w:pStyle w:val="Encabezado"/>
            <w:jc w:val="right"/>
            <w:rPr>
              <w:rFonts w:ascii="Palatino Linotype" w:hAnsi="Palatino Linotype"/>
              <w:b/>
            </w:rPr>
          </w:pPr>
          <w:r>
            <w:rPr>
              <w:rFonts w:ascii="Palatino Linotype" w:hAnsi="Palatino Linotype"/>
              <w:b/>
            </w:rPr>
            <w:t xml:space="preserve">         </w:t>
          </w:r>
          <w:r w:rsidR="00F761EA" w:rsidRPr="00F761EA">
            <w:rPr>
              <w:rFonts w:ascii="Palatino Linotype" w:hAnsi="Palatino Linotype"/>
              <w:b/>
              <w:highlight w:val="black"/>
              <w:lang w:val="es-MX"/>
            </w:rPr>
            <w:t>-----</w:t>
          </w:r>
          <w:r w:rsidR="00F761EA">
            <w:rPr>
              <w:rFonts w:ascii="Palatino Linotype" w:hAnsi="Palatino Linotype"/>
              <w:b/>
              <w:highlight w:val="black"/>
              <w:lang w:val="es-MX"/>
            </w:rPr>
            <w:t>------</w:t>
          </w:r>
          <w:r w:rsidR="00F761EA" w:rsidRPr="00F761EA">
            <w:rPr>
              <w:rFonts w:ascii="Palatino Linotype" w:hAnsi="Palatino Linotype"/>
              <w:b/>
              <w:highlight w:val="black"/>
              <w:lang w:val="es-MX"/>
            </w:rPr>
            <w:t>-----------------------</w:t>
          </w:r>
        </w:p>
      </w:tc>
    </w:tr>
    <w:tr w:rsidR="00914E9A" w:rsidRPr="00182113" w:rsidTr="00914E9A">
      <w:trPr>
        <w:trHeight w:val="232"/>
      </w:trPr>
      <w:tc>
        <w:tcPr>
          <w:tcW w:w="2835" w:type="dxa"/>
          <w:vAlign w:val="center"/>
        </w:tcPr>
        <w:p w:rsidR="00914E9A" w:rsidRPr="00182113" w:rsidRDefault="00914E9A" w:rsidP="009A4582">
          <w:pPr>
            <w:rPr>
              <w:rFonts w:ascii="Palatino Linotype" w:hAnsi="Palatino Linotype"/>
              <w:b/>
            </w:rPr>
          </w:pPr>
          <w:r w:rsidRPr="00182113">
            <w:rPr>
              <w:rFonts w:ascii="Palatino Linotype" w:hAnsi="Palatino Linotype"/>
              <w:b/>
            </w:rPr>
            <w:t>Sujeto obligado:</w:t>
          </w:r>
        </w:p>
      </w:tc>
      <w:tc>
        <w:tcPr>
          <w:tcW w:w="4253" w:type="dxa"/>
          <w:vAlign w:val="center"/>
        </w:tcPr>
        <w:p w:rsidR="00914E9A" w:rsidRPr="00182113" w:rsidRDefault="00914E9A" w:rsidP="00883B38">
          <w:pPr>
            <w:pStyle w:val="Encabezado"/>
            <w:jc w:val="right"/>
            <w:rPr>
              <w:rFonts w:ascii="Palatino Linotype" w:hAnsi="Palatino Linotype"/>
              <w:b/>
            </w:rPr>
          </w:pPr>
          <w:r w:rsidRPr="009A6419">
            <w:rPr>
              <w:rFonts w:ascii="Palatino Linotype" w:hAnsi="Palatino Linotype"/>
              <w:b/>
            </w:rPr>
            <w:t>Poder Legislativo</w:t>
          </w:r>
        </w:p>
      </w:tc>
    </w:tr>
    <w:tr w:rsidR="00914E9A" w:rsidRPr="00182113" w:rsidTr="00914E9A">
      <w:trPr>
        <w:trHeight w:val="320"/>
      </w:trPr>
      <w:tc>
        <w:tcPr>
          <w:tcW w:w="2835" w:type="dxa"/>
          <w:vAlign w:val="center"/>
        </w:tcPr>
        <w:p w:rsidR="00914E9A" w:rsidRPr="00182113" w:rsidRDefault="00914E9A" w:rsidP="009A4582">
          <w:pPr>
            <w:rPr>
              <w:rFonts w:ascii="Palatino Linotype" w:hAnsi="Palatino Linotype"/>
              <w:b/>
            </w:rPr>
          </w:pPr>
          <w:r w:rsidRPr="00182113">
            <w:rPr>
              <w:rFonts w:ascii="Palatino Linotype" w:hAnsi="Palatino Linotype"/>
              <w:b/>
            </w:rPr>
            <w:t>Comisionado ponente:</w:t>
          </w:r>
        </w:p>
      </w:tc>
      <w:tc>
        <w:tcPr>
          <w:tcW w:w="4253" w:type="dxa"/>
          <w:vAlign w:val="center"/>
        </w:tcPr>
        <w:p w:rsidR="00914E9A" w:rsidRPr="00914E9A" w:rsidRDefault="00914E9A" w:rsidP="00FA4507">
          <w:pPr>
            <w:pStyle w:val="Encabezado"/>
            <w:jc w:val="right"/>
            <w:rPr>
              <w:rFonts w:ascii="Palatino Linotype" w:hAnsi="Palatino Linotype"/>
              <w:b/>
            </w:rPr>
          </w:pPr>
          <w:r>
            <w:rPr>
              <w:rFonts w:ascii="Palatino Linotype" w:hAnsi="Palatino Linotype"/>
              <w:b/>
            </w:rPr>
            <w:t xml:space="preserve">      </w:t>
          </w:r>
          <w:r w:rsidRPr="00914E9A">
            <w:rPr>
              <w:rFonts w:ascii="Palatino Linotype" w:hAnsi="Palatino Linotype"/>
              <w:b/>
            </w:rPr>
            <w:t>José Guadalupe Luna Hernández</w:t>
          </w:r>
        </w:p>
      </w:tc>
    </w:tr>
  </w:tbl>
  <w:p w:rsidR="00A45275" w:rsidRDefault="00A4527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3499D"/>
    <w:multiLevelType w:val="hybridMultilevel"/>
    <w:tmpl w:val="8B6ACDA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7207DF0"/>
    <w:multiLevelType w:val="hybridMultilevel"/>
    <w:tmpl w:val="2A902FF4"/>
    <w:lvl w:ilvl="0" w:tplc="080A000F">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
    <w:nsid w:val="17C06081"/>
    <w:multiLevelType w:val="hybridMultilevel"/>
    <w:tmpl w:val="E22C5E7C"/>
    <w:lvl w:ilvl="0" w:tplc="080A0001">
      <w:start w:val="1"/>
      <w:numFmt w:val="bullet"/>
      <w:lvlText w:val=""/>
      <w:lvlJc w:val="left"/>
      <w:pPr>
        <w:ind w:left="1287" w:hanging="360"/>
      </w:pPr>
      <w:rPr>
        <w:rFonts w:ascii="Symbol" w:hAnsi="Symbol" w:hint="default"/>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3">
    <w:nsid w:val="1CDB463A"/>
    <w:multiLevelType w:val="hybridMultilevel"/>
    <w:tmpl w:val="D3E0B4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DD47A62"/>
    <w:multiLevelType w:val="hybridMultilevel"/>
    <w:tmpl w:val="393079B4"/>
    <w:lvl w:ilvl="0" w:tplc="73E0F9C2">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39E19F6"/>
    <w:multiLevelType w:val="hybridMultilevel"/>
    <w:tmpl w:val="E21CFBBC"/>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A6E781F"/>
    <w:multiLevelType w:val="hybridMultilevel"/>
    <w:tmpl w:val="26F00E70"/>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7">
    <w:nsid w:val="2EC87CA4"/>
    <w:multiLevelType w:val="hybridMultilevel"/>
    <w:tmpl w:val="F0FA5F78"/>
    <w:lvl w:ilvl="0" w:tplc="080A0003">
      <w:start w:val="1"/>
      <w:numFmt w:val="bullet"/>
      <w:lvlText w:val="o"/>
      <w:lvlJc w:val="left"/>
      <w:pPr>
        <w:ind w:left="1146" w:hanging="360"/>
      </w:pPr>
      <w:rPr>
        <w:rFonts w:ascii="Courier New" w:hAnsi="Courier New" w:cs="Courier New"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8">
    <w:nsid w:val="34317490"/>
    <w:multiLevelType w:val="hybridMultilevel"/>
    <w:tmpl w:val="F3BE47C8"/>
    <w:lvl w:ilvl="0" w:tplc="50A2BCFA">
      <w:start w:val="1"/>
      <w:numFmt w:val="decimal"/>
      <w:lvlText w:val="%1."/>
      <w:lvlJc w:val="left"/>
      <w:pPr>
        <w:ind w:left="36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BA567F6"/>
    <w:multiLevelType w:val="hybridMultilevel"/>
    <w:tmpl w:val="18C0C1AC"/>
    <w:lvl w:ilvl="0" w:tplc="080A0001">
      <w:start w:val="1"/>
      <w:numFmt w:val="bullet"/>
      <w:lvlText w:val=""/>
      <w:lvlJc w:val="left"/>
      <w:pPr>
        <w:ind w:left="1287" w:hanging="360"/>
      </w:pPr>
      <w:rPr>
        <w:rFonts w:ascii="Symbol" w:hAnsi="Symbol" w:hint="default"/>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10">
    <w:nsid w:val="3D355665"/>
    <w:multiLevelType w:val="hybridMultilevel"/>
    <w:tmpl w:val="31BC6DF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nsid w:val="42CC45EA"/>
    <w:multiLevelType w:val="hybridMultilevel"/>
    <w:tmpl w:val="CF6C0FD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nsid w:val="42FD3028"/>
    <w:multiLevelType w:val="hybridMultilevel"/>
    <w:tmpl w:val="F82095B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47E5199"/>
    <w:multiLevelType w:val="hybridMultilevel"/>
    <w:tmpl w:val="2A902FF4"/>
    <w:lvl w:ilvl="0" w:tplc="080A000F">
      <w:start w:val="1"/>
      <w:numFmt w:val="decimal"/>
      <w:lvlText w:val="%1."/>
      <w:lvlJc w:val="left"/>
      <w:pPr>
        <w:ind w:left="1429" w:hanging="360"/>
      </w:pPr>
    </w:lvl>
    <w:lvl w:ilvl="1" w:tplc="080A0019">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4">
    <w:nsid w:val="44802323"/>
    <w:multiLevelType w:val="hybridMultilevel"/>
    <w:tmpl w:val="7C9C058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8BD42C8"/>
    <w:multiLevelType w:val="hybridMultilevel"/>
    <w:tmpl w:val="F3BE47C8"/>
    <w:lvl w:ilvl="0" w:tplc="50A2BCFA">
      <w:start w:val="1"/>
      <w:numFmt w:val="decimal"/>
      <w:lvlText w:val="%1."/>
      <w:lvlJc w:val="left"/>
      <w:pPr>
        <w:ind w:left="36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8E967FF"/>
    <w:multiLevelType w:val="hybridMultilevel"/>
    <w:tmpl w:val="F744AB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92D0EBE"/>
    <w:multiLevelType w:val="hybridMultilevel"/>
    <w:tmpl w:val="78223D8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8">
    <w:nsid w:val="4A7A6E13"/>
    <w:multiLevelType w:val="hybridMultilevel"/>
    <w:tmpl w:val="62584FA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C1214D7"/>
    <w:multiLevelType w:val="hybridMultilevel"/>
    <w:tmpl w:val="1DCC7AFE"/>
    <w:lvl w:ilvl="0" w:tplc="E3D8651C">
      <w:start w:val="1"/>
      <w:numFmt w:val="bullet"/>
      <w:lvlText w:val=""/>
      <w:lvlJc w:val="left"/>
      <w:pPr>
        <w:ind w:left="720" w:hanging="360"/>
      </w:pPr>
      <w:rPr>
        <w:rFonts w:ascii="Wingdings" w:hAnsi="Wingdings" w:hint="default"/>
        <w:sz w:val="28"/>
        <w:szCs w:val="2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77202FA"/>
    <w:multiLevelType w:val="hybridMultilevel"/>
    <w:tmpl w:val="6C8A5758"/>
    <w:lvl w:ilvl="0" w:tplc="DDC08822">
      <w:start w:val="1"/>
      <w:numFmt w:val="decimal"/>
      <w:lvlText w:val="%1."/>
      <w:lvlJc w:val="left"/>
      <w:pPr>
        <w:ind w:left="360" w:hanging="360"/>
      </w:pPr>
      <w:rPr>
        <w:rFonts w:hAnsi="Arial Unicode MS" w:hint="default"/>
        <w:b/>
        <w:i w:val="0"/>
        <w:caps w:val="0"/>
        <w:smallCaps w:val="0"/>
        <w:strike w:val="0"/>
        <w:dstrike w:val="0"/>
        <w:outline w:val="0"/>
        <w:emboss w:val="0"/>
        <w:imprint w:val="0"/>
        <w:spacing w:val="0"/>
        <w:w w:val="100"/>
        <w:kern w:val="0"/>
        <w:position w:val="0"/>
        <w:highlight w:val="none"/>
        <w:u w:val="none"/>
        <w:vertAlign w:val="baseline"/>
      </w:rPr>
    </w:lvl>
    <w:lvl w:ilvl="1" w:tplc="A0B832D0">
      <w:start w:val="1"/>
      <w:numFmt w:val="upperRoman"/>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A4B4495"/>
    <w:multiLevelType w:val="hybridMultilevel"/>
    <w:tmpl w:val="F3BE47C8"/>
    <w:lvl w:ilvl="0" w:tplc="50A2BCFA">
      <w:start w:val="1"/>
      <w:numFmt w:val="decimal"/>
      <w:lvlText w:val="%1."/>
      <w:lvlJc w:val="left"/>
      <w:pPr>
        <w:ind w:left="36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1304B3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nsid w:val="63E471F0"/>
    <w:multiLevelType w:val="hybridMultilevel"/>
    <w:tmpl w:val="865604D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5">
    <w:nsid w:val="67AD254B"/>
    <w:multiLevelType w:val="hybridMultilevel"/>
    <w:tmpl w:val="997E196A"/>
    <w:lvl w:ilvl="0" w:tplc="0B5059F6">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ADD6990"/>
    <w:multiLevelType w:val="hybridMultilevel"/>
    <w:tmpl w:val="2D5C67F0"/>
    <w:lvl w:ilvl="0" w:tplc="080A001B">
      <w:start w:val="1"/>
      <w:numFmt w:val="low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7">
    <w:nsid w:val="6C4971A6"/>
    <w:multiLevelType w:val="hybridMultilevel"/>
    <w:tmpl w:val="95EE79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5DD0043"/>
    <w:multiLevelType w:val="hybridMultilevel"/>
    <w:tmpl w:val="96A855F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B7100F6"/>
    <w:multiLevelType w:val="hybridMultilevel"/>
    <w:tmpl w:val="1DC8F6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C743F01"/>
    <w:multiLevelType w:val="hybridMultilevel"/>
    <w:tmpl w:val="748CC3B0"/>
    <w:lvl w:ilvl="0" w:tplc="080A000D">
      <w:start w:val="1"/>
      <w:numFmt w:val="bullet"/>
      <w:lvlText w:val=""/>
      <w:lvlJc w:val="left"/>
      <w:pPr>
        <w:ind w:left="1220" w:hanging="360"/>
      </w:pPr>
      <w:rPr>
        <w:rFonts w:ascii="Wingdings" w:hAnsi="Wingdings" w:hint="default"/>
      </w:rPr>
    </w:lvl>
    <w:lvl w:ilvl="1" w:tplc="080A0003" w:tentative="1">
      <w:start w:val="1"/>
      <w:numFmt w:val="bullet"/>
      <w:lvlText w:val="o"/>
      <w:lvlJc w:val="left"/>
      <w:pPr>
        <w:ind w:left="1940" w:hanging="360"/>
      </w:pPr>
      <w:rPr>
        <w:rFonts w:ascii="Courier New" w:hAnsi="Courier New" w:cs="Courier New" w:hint="default"/>
      </w:rPr>
    </w:lvl>
    <w:lvl w:ilvl="2" w:tplc="080A0005" w:tentative="1">
      <w:start w:val="1"/>
      <w:numFmt w:val="bullet"/>
      <w:lvlText w:val=""/>
      <w:lvlJc w:val="left"/>
      <w:pPr>
        <w:ind w:left="2660" w:hanging="360"/>
      </w:pPr>
      <w:rPr>
        <w:rFonts w:ascii="Wingdings" w:hAnsi="Wingdings" w:hint="default"/>
      </w:rPr>
    </w:lvl>
    <w:lvl w:ilvl="3" w:tplc="080A0001" w:tentative="1">
      <w:start w:val="1"/>
      <w:numFmt w:val="bullet"/>
      <w:lvlText w:val=""/>
      <w:lvlJc w:val="left"/>
      <w:pPr>
        <w:ind w:left="3380" w:hanging="360"/>
      </w:pPr>
      <w:rPr>
        <w:rFonts w:ascii="Symbol" w:hAnsi="Symbol" w:hint="default"/>
      </w:rPr>
    </w:lvl>
    <w:lvl w:ilvl="4" w:tplc="080A0003" w:tentative="1">
      <w:start w:val="1"/>
      <w:numFmt w:val="bullet"/>
      <w:lvlText w:val="o"/>
      <w:lvlJc w:val="left"/>
      <w:pPr>
        <w:ind w:left="4100" w:hanging="360"/>
      </w:pPr>
      <w:rPr>
        <w:rFonts w:ascii="Courier New" w:hAnsi="Courier New" w:cs="Courier New" w:hint="default"/>
      </w:rPr>
    </w:lvl>
    <w:lvl w:ilvl="5" w:tplc="080A0005" w:tentative="1">
      <w:start w:val="1"/>
      <w:numFmt w:val="bullet"/>
      <w:lvlText w:val=""/>
      <w:lvlJc w:val="left"/>
      <w:pPr>
        <w:ind w:left="4820" w:hanging="360"/>
      </w:pPr>
      <w:rPr>
        <w:rFonts w:ascii="Wingdings" w:hAnsi="Wingdings" w:hint="default"/>
      </w:rPr>
    </w:lvl>
    <w:lvl w:ilvl="6" w:tplc="080A0001" w:tentative="1">
      <w:start w:val="1"/>
      <w:numFmt w:val="bullet"/>
      <w:lvlText w:val=""/>
      <w:lvlJc w:val="left"/>
      <w:pPr>
        <w:ind w:left="5540" w:hanging="360"/>
      </w:pPr>
      <w:rPr>
        <w:rFonts w:ascii="Symbol" w:hAnsi="Symbol" w:hint="default"/>
      </w:rPr>
    </w:lvl>
    <w:lvl w:ilvl="7" w:tplc="080A0003" w:tentative="1">
      <w:start w:val="1"/>
      <w:numFmt w:val="bullet"/>
      <w:lvlText w:val="o"/>
      <w:lvlJc w:val="left"/>
      <w:pPr>
        <w:ind w:left="6260" w:hanging="360"/>
      </w:pPr>
      <w:rPr>
        <w:rFonts w:ascii="Courier New" w:hAnsi="Courier New" w:cs="Courier New" w:hint="default"/>
      </w:rPr>
    </w:lvl>
    <w:lvl w:ilvl="8" w:tplc="080A0005" w:tentative="1">
      <w:start w:val="1"/>
      <w:numFmt w:val="bullet"/>
      <w:lvlText w:val=""/>
      <w:lvlJc w:val="left"/>
      <w:pPr>
        <w:ind w:left="6980" w:hanging="360"/>
      </w:pPr>
      <w:rPr>
        <w:rFonts w:ascii="Wingdings" w:hAnsi="Wingdings" w:hint="default"/>
      </w:rPr>
    </w:lvl>
  </w:abstractNum>
  <w:abstractNum w:abstractNumId="31">
    <w:nsid w:val="7FB5070A"/>
    <w:multiLevelType w:val="hybridMultilevel"/>
    <w:tmpl w:val="7B68AEB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8"/>
  </w:num>
  <w:num w:numId="3">
    <w:abstractNumId w:val="23"/>
  </w:num>
  <w:num w:numId="4">
    <w:abstractNumId w:val="18"/>
  </w:num>
  <w:num w:numId="5">
    <w:abstractNumId w:val="26"/>
  </w:num>
  <w:num w:numId="6">
    <w:abstractNumId w:val="12"/>
  </w:num>
  <w:num w:numId="7">
    <w:abstractNumId w:val="19"/>
  </w:num>
  <w:num w:numId="8">
    <w:abstractNumId w:val="4"/>
  </w:num>
  <w:num w:numId="9">
    <w:abstractNumId w:val="14"/>
  </w:num>
  <w:num w:numId="10">
    <w:abstractNumId w:val="0"/>
  </w:num>
  <w:num w:numId="11">
    <w:abstractNumId w:val="28"/>
  </w:num>
  <w:num w:numId="12">
    <w:abstractNumId w:val="25"/>
  </w:num>
  <w:num w:numId="13">
    <w:abstractNumId w:val="3"/>
  </w:num>
  <w:num w:numId="14">
    <w:abstractNumId w:val="30"/>
  </w:num>
  <w:num w:numId="15">
    <w:abstractNumId w:val="16"/>
  </w:num>
  <w:num w:numId="16">
    <w:abstractNumId w:val="6"/>
  </w:num>
  <w:num w:numId="17">
    <w:abstractNumId w:val="21"/>
  </w:num>
  <w:num w:numId="18">
    <w:abstractNumId w:val="11"/>
  </w:num>
  <w:num w:numId="19">
    <w:abstractNumId w:val="17"/>
  </w:num>
  <w:num w:numId="20">
    <w:abstractNumId w:val="9"/>
  </w:num>
  <w:num w:numId="21">
    <w:abstractNumId w:val="24"/>
  </w:num>
  <w:num w:numId="22">
    <w:abstractNumId w:val="2"/>
  </w:num>
  <w:num w:numId="23">
    <w:abstractNumId w:val="2"/>
  </w:num>
  <w:num w:numId="24">
    <w:abstractNumId w:val="7"/>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9"/>
  </w:num>
  <w:num w:numId="27">
    <w:abstractNumId w:val="15"/>
  </w:num>
  <w:num w:numId="28">
    <w:abstractNumId w:val="27"/>
  </w:num>
  <w:num w:numId="29">
    <w:abstractNumId w:val="31"/>
  </w:num>
  <w:num w:numId="30">
    <w:abstractNumId w:val="13"/>
  </w:num>
  <w:num w:numId="31">
    <w:abstractNumId w:val="1"/>
  </w:num>
  <w:num w:numId="32">
    <w:abstractNumId w:val="22"/>
  </w:num>
  <w:num w:numId="33">
    <w:abstractNumId w:val="20"/>
  </w:num>
  <w:num w:numId="34">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3"/>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776"/>
    <w:rsid w:val="00000B8A"/>
    <w:rsid w:val="00006185"/>
    <w:rsid w:val="00007005"/>
    <w:rsid w:val="00010017"/>
    <w:rsid w:val="00010318"/>
    <w:rsid w:val="00017C23"/>
    <w:rsid w:val="000201D1"/>
    <w:rsid w:val="00024C36"/>
    <w:rsid w:val="00024F6A"/>
    <w:rsid w:val="00032659"/>
    <w:rsid w:val="00033F35"/>
    <w:rsid w:val="00054B44"/>
    <w:rsid w:val="00057841"/>
    <w:rsid w:val="00060857"/>
    <w:rsid w:val="00066D4B"/>
    <w:rsid w:val="0007062A"/>
    <w:rsid w:val="00072EFA"/>
    <w:rsid w:val="00076ADB"/>
    <w:rsid w:val="00077233"/>
    <w:rsid w:val="000A3DE8"/>
    <w:rsid w:val="000A517F"/>
    <w:rsid w:val="000A6EBF"/>
    <w:rsid w:val="000A7D5D"/>
    <w:rsid w:val="000B2EAF"/>
    <w:rsid w:val="000B5A4C"/>
    <w:rsid w:val="000C3DDE"/>
    <w:rsid w:val="000C66EA"/>
    <w:rsid w:val="000D16AE"/>
    <w:rsid w:val="000D1D31"/>
    <w:rsid w:val="000D35C7"/>
    <w:rsid w:val="000E10DF"/>
    <w:rsid w:val="000E182A"/>
    <w:rsid w:val="000E4A12"/>
    <w:rsid w:val="000E4A18"/>
    <w:rsid w:val="000F7741"/>
    <w:rsid w:val="00101818"/>
    <w:rsid w:val="00102E88"/>
    <w:rsid w:val="00106806"/>
    <w:rsid w:val="00107A21"/>
    <w:rsid w:val="00110A90"/>
    <w:rsid w:val="00124119"/>
    <w:rsid w:val="00132825"/>
    <w:rsid w:val="00136757"/>
    <w:rsid w:val="00140674"/>
    <w:rsid w:val="00141BDA"/>
    <w:rsid w:val="00147141"/>
    <w:rsid w:val="00152A54"/>
    <w:rsid w:val="00153924"/>
    <w:rsid w:val="00160BBC"/>
    <w:rsid w:val="001622A0"/>
    <w:rsid w:val="00167DD3"/>
    <w:rsid w:val="0017140F"/>
    <w:rsid w:val="001749E3"/>
    <w:rsid w:val="00177095"/>
    <w:rsid w:val="00177EA8"/>
    <w:rsid w:val="00181E44"/>
    <w:rsid w:val="001830E2"/>
    <w:rsid w:val="001861E1"/>
    <w:rsid w:val="0019091F"/>
    <w:rsid w:val="00193AD9"/>
    <w:rsid w:val="001963AC"/>
    <w:rsid w:val="001A41FF"/>
    <w:rsid w:val="001B04F5"/>
    <w:rsid w:val="001B625E"/>
    <w:rsid w:val="001C2DEC"/>
    <w:rsid w:val="001C46A3"/>
    <w:rsid w:val="001C487F"/>
    <w:rsid w:val="001D16BD"/>
    <w:rsid w:val="001E61D8"/>
    <w:rsid w:val="001F2F00"/>
    <w:rsid w:val="001F5DBD"/>
    <w:rsid w:val="001F6670"/>
    <w:rsid w:val="00201BF3"/>
    <w:rsid w:val="00201CDE"/>
    <w:rsid w:val="00201F41"/>
    <w:rsid w:val="00202E6A"/>
    <w:rsid w:val="00210A6F"/>
    <w:rsid w:val="00211B1B"/>
    <w:rsid w:val="002157A5"/>
    <w:rsid w:val="00220CA4"/>
    <w:rsid w:val="00224BB6"/>
    <w:rsid w:val="00232FEC"/>
    <w:rsid w:val="00234EBF"/>
    <w:rsid w:val="00241948"/>
    <w:rsid w:val="002431BA"/>
    <w:rsid w:val="00245EC0"/>
    <w:rsid w:val="00250B11"/>
    <w:rsid w:val="0025403F"/>
    <w:rsid w:val="002571C9"/>
    <w:rsid w:val="00266239"/>
    <w:rsid w:val="00266C96"/>
    <w:rsid w:val="00267B24"/>
    <w:rsid w:val="00273142"/>
    <w:rsid w:val="00275FB3"/>
    <w:rsid w:val="002921DD"/>
    <w:rsid w:val="00292809"/>
    <w:rsid w:val="00293B7B"/>
    <w:rsid w:val="002A0962"/>
    <w:rsid w:val="002A14D8"/>
    <w:rsid w:val="002A16FE"/>
    <w:rsid w:val="002A1C9E"/>
    <w:rsid w:val="002A38B7"/>
    <w:rsid w:val="002A429D"/>
    <w:rsid w:val="002A5827"/>
    <w:rsid w:val="002B0829"/>
    <w:rsid w:val="002B64FF"/>
    <w:rsid w:val="002B6FAB"/>
    <w:rsid w:val="002B7C86"/>
    <w:rsid w:val="002D16F1"/>
    <w:rsid w:val="002D172A"/>
    <w:rsid w:val="002D6908"/>
    <w:rsid w:val="002E32F6"/>
    <w:rsid w:val="002F2E0B"/>
    <w:rsid w:val="002F3433"/>
    <w:rsid w:val="002F3BFA"/>
    <w:rsid w:val="00303A99"/>
    <w:rsid w:val="003044DA"/>
    <w:rsid w:val="003049A2"/>
    <w:rsid w:val="00304D1E"/>
    <w:rsid w:val="00307425"/>
    <w:rsid w:val="003132B5"/>
    <w:rsid w:val="00314F26"/>
    <w:rsid w:val="00315476"/>
    <w:rsid w:val="00315885"/>
    <w:rsid w:val="00315BF5"/>
    <w:rsid w:val="00323F76"/>
    <w:rsid w:val="0032530A"/>
    <w:rsid w:val="003319EC"/>
    <w:rsid w:val="0033213B"/>
    <w:rsid w:val="003337EE"/>
    <w:rsid w:val="00334C17"/>
    <w:rsid w:val="00335786"/>
    <w:rsid w:val="00336C1B"/>
    <w:rsid w:val="0034471E"/>
    <w:rsid w:val="00345EEA"/>
    <w:rsid w:val="00354158"/>
    <w:rsid w:val="00354999"/>
    <w:rsid w:val="00364A88"/>
    <w:rsid w:val="00366B82"/>
    <w:rsid w:val="0037277E"/>
    <w:rsid w:val="00380C92"/>
    <w:rsid w:val="00382BC1"/>
    <w:rsid w:val="00390488"/>
    <w:rsid w:val="003A4466"/>
    <w:rsid w:val="003A629F"/>
    <w:rsid w:val="003A6D6B"/>
    <w:rsid w:val="003B4437"/>
    <w:rsid w:val="003B5F5E"/>
    <w:rsid w:val="003B69DE"/>
    <w:rsid w:val="003C4DBF"/>
    <w:rsid w:val="003D02D4"/>
    <w:rsid w:val="003D38AB"/>
    <w:rsid w:val="003D4338"/>
    <w:rsid w:val="003D4736"/>
    <w:rsid w:val="003E2989"/>
    <w:rsid w:val="003E409B"/>
    <w:rsid w:val="003E5182"/>
    <w:rsid w:val="003E585E"/>
    <w:rsid w:val="003E6B82"/>
    <w:rsid w:val="003E79AE"/>
    <w:rsid w:val="003F0A08"/>
    <w:rsid w:val="003F4348"/>
    <w:rsid w:val="003F5164"/>
    <w:rsid w:val="0040093D"/>
    <w:rsid w:val="00401B06"/>
    <w:rsid w:val="0041102F"/>
    <w:rsid w:val="0042142A"/>
    <w:rsid w:val="004221C5"/>
    <w:rsid w:val="00425395"/>
    <w:rsid w:val="00430D80"/>
    <w:rsid w:val="00451957"/>
    <w:rsid w:val="00452227"/>
    <w:rsid w:val="00455D99"/>
    <w:rsid w:val="00465CAB"/>
    <w:rsid w:val="0047073A"/>
    <w:rsid w:val="00473FE5"/>
    <w:rsid w:val="00474E0F"/>
    <w:rsid w:val="004765E3"/>
    <w:rsid w:val="004766A7"/>
    <w:rsid w:val="00481724"/>
    <w:rsid w:val="00481A10"/>
    <w:rsid w:val="00482A34"/>
    <w:rsid w:val="004835DC"/>
    <w:rsid w:val="00485E23"/>
    <w:rsid w:val="004935F3"/>
    <w:rsid w:val="00493730"/>
    <w:rsid w:val="004938DA"/>
    <w:rsid w:val="0049467C"/>
    <w:rsid w:val="004A04FC"/>
    <w:rsid w:val="004A2327"/>
    <w:rsid w:val="004A56E3"/>
    <w:rsid w:val="004A70B0"/>
    <w:rsid w:val="004B716C"/>
    <w:rsid w:val="004D3A29"/>
    <w:rsid w:val="004D4C68"/>
    <w:rsid w:val="004E4C14"/>
    <w:rsid w:val="004F4C05"/>
    <w:rsid w:val="00500259"/>
    <w:rsid w:val="00500FB6"/>
    <w:rsid w:val="0050327B"/>
    <w:rsid w:val="00503CB0"/>
    <w:rsid w:val="00505804"/>
    <w:rsid w:val="00506DDB"/>
    <w:rsid w:val="00510198"/>
    <w:rsid w:val="0051337C"/>
    <w:rsid w:val="00523819"/>
    <w:rsid w:val="00525360"/>
    <w:rsid w:val="005313A6"/>
    <w:rsid w:val="00531B89"/>
    <w:rsid w:val="00534CBE"/>
    <w:rsid w:val="005702BE"/>
    <w:rsid w:val="00570A3F"/>
    <w:rsid w:val="00574829"/>
    <w:rsid w:val="00584648"/>
    <w:rsid w:val="00591045"/>
    <w:rsid w:val="0059199C"/>
    <w:rsid w:val="005A2008"/>
    <w:rsid w:val="005A2B5F"/>
    <w:rsid w:val="005A629F"/>
    <w:rsid w:val="005A6596"/>
    <w:rsid w:val="005B0C4C"/>
    <w:rsid w:val="005B31A8"/>
    <w:rsid w:val="005B33CB"/>
    <w:rsid w:val="005C1D54"/>
    <w:rsid w:val="005C2D31"/>
    <w:rsid w:val="005C4663"/>
    <w:rsid w:val="005D3C6B"/>
    <w:rsid w:val="005E43CC"/>
    <w:rsid w:val="005E6787"/>
    <w:rsid w:val="005F657A"/>
    <w:rsid w:val="00602E0F"/>
    <w:rsid w:val="00603B42"/>
    <w:rsid w:val="006043C1"/>
    <w:rsid w:val="0061037B"/>
    <w:rsid w:val="00612344"/>
    <w:rsid w:val="00616052"/>
    <w:rsid w:val="006307B0"/>
    <w:rsid w:val="00632BCB"/>
    <w:rsid w:val="006416D7"/>
    <w:rsid w:val="0065762F"/>
    <w:rsid w:val="00661A81"/>
    <w:rsid w:val="00663FF0"/>
    <w:rsid w:val="00672EA1"/>
    <w:rsid w:val="00685B29"/>
    <w:rsid w:val="006902F2"/>
    <w:rsid w:val="00690C56"/>
    <w:rsid w:val="00694CC8"/>
    <w:rsid w:val="006A1DD3"/>
    <w:rsid w:val="006A6FE6"/>
    <w:rsid w:val="006C4663"/>
    <w:rsid w:val="006C74A6"/>
    <w:rsid w:val="006D025A"/>
    <w:rsid w:val="006D5CEB"/>
    <w:rsid w:val="006E24FE"/>
    <w:rsid w:val="006E77A3"/>
    <w:rsid w:val="006F025F"/>
    <w:rsid w:val="006F1072"/>
    <w:rsid w:val="006F4A0C"/>
    <w:rsid w:val="006F6B48"/>
    <w:rsid w:val="007010FC"/>
    <w:rsid w:val="00704FC1"/>
    <w:rsid w:val="0071024F"/>
    <w:rsid w:val="00713C4F"/>
    <w:rsid w:val="00714C71"/>
    <w:rsid w:val="00716D0A"/>
    <w:rsid w:val="007230A3"/>
    <w:rsid w:val="00723A8D"/>
    <w:rsid w:val="00732D0D"/>
    <w:rsid w:val="00735D06"/>
    <w:rsid w:val="007406EA"/>
    <w:rsid w:val="00742576"/>
    <w:rsid w:val="00743D03"/>
    <w:rsid w:val="007466C9"/>
    <w:rsid w:val="00753B0E"/>
    <w:rsid w:val="00754D45"/>
    <w:rsid w:val="00756441"/>
    <w:rsid w:val="007623BE"/>
    <w:rsid w:val="00764BBB"/>
    <w:rsid w:val="00764F9E"/>
    <w:rsid w:val="007737F5"/>
    <w:rsid w:val="00774451"/>
    <w:rsid w:val="00777A81"/>
    <w:rsid w:val="007841CA"/>
    <w:rsid w:val="00792776"/>
    <w:rsid w:val="007A55E4"/>
    <w:rsid w:val="007A7A0F"/>
    <w:rsid w:val="007B0DEC"/>
    <w:rsid w:val="007B5FFC"/>
    <w:rsid w:val="007B6D4B"/>
    <w:rsid w:val="007B7086"/>
    <w:rsid w:val="007D0109"/>
    <w:rsid w:val="007D3AB1"/>
    <w:rsid w:val="007D47D9"/>
    <w:rsid w:val="007D5D25"/>
    <w:rsid w:val="007E4CB9"/>
    <w:rsid w:val="007E4E22"/>
    <w:rsid w:val="007F70A4"/>
    <w:rsid w:val="00801BAA"/>
    <w:rsid w:val="00801E14"/>
    <w:rsid w:val="0081179A"/>
    <w:rsid w:val="00811897"/>
    <w:rsid w:val="008161A8"/>
    <w:rsid w:val="00820359"/>
    <w:rsid w:val="00825FF0"/>
    <w:rsid w:val="00826822"/>
    <w:rsid w:val="0083591C"/>
    <w:rsid w:val="00845705"/>
    <w:rsid w:val="00845D19"/>
    <w:rsid w:val="0085128A"/>
    <w:rsid w:val="00852EC1"/>
    <w:rsid w:val="008540E3"/>
    <w:rsid w:val="00857C91"/>
    <w:rsid w:val="0086565D"/>
    <w:rsid w:val="008712F2"/>
    <w:rsid w:val="00873107"/>
    <w:rsid w:val="00877EBF"/>
    <w:rsid w:val="00880716"/>
    <w:rsid w:val="00881438"/>
    <w:rsid w:val="00883B38"/>
    <w:rsid w:val="00885746"/>
    <w:rsid w:val="008870CA"/>
    <w:rsid w:val="00892202"/>
    <w:rsid w:val="00894101"/>
    <w:rsid w:val="008A3DCF"/>
    <w:rsid w:val="008A5225"/>
    <w:rsid w:val="008B41B6"/>
    <w:rsid w:val="008C0E0C"/>
    <w:rsid w:val="008C1879"/>
    <w:rsid w:val="008C18E6"/>
    <w:rsid w:val="008C5ABE"/>
    <w:rsid w:val="008D45C3"/>
    <w:rsid w:val="008D4E1A"/>
    <w:rsid w:val="008D7E0C"/>
    <w:rsid w:val="008E3BAC"/>
    <w:rsid w:val="008E4C1D"/>
    <w:rsid w:val="008F11D6"/>
    <w:rsid w:val="008F520D"/>
    <w:rsid w:val="0090534F"/>
    <w:rsid w:val="0090539F"/>
    <w:rsid w:val="00906E4A"/>
    <w:rsid w:val="00913F26"/>
    <w:rsid w:val="00914C75"/>
    <w:rsid w:val="00914E9A"/>
    <w:rsid w:val="00921E87"/>
    <w:rsid w:val="0092392E"/>
    <w:rsid w:val="009350D3"/>
    <w:rsid w:val="0093614E"/>
    <w:rsid w:val="009364DD"/>
    <w:rsid w:val="0094139E"/>
    <w:rsid w:val="009421B1"/>
    <w:rsid w:val="009423BA"/>
    <w:rsid w:val="00951003"/>
    <w:rsid w:val="00960D99"/>
    <w:rsid w:val="00966090"/>
    <w:rsid w:val="00971AFE"/>
    <w:rsid w:val="00976019"/>
    <w:rsid w:val="00981944"/>
    <w:rsid w:val="00991C4B"/>
    <w:rsid w:val="0099464D"/>
    <w:rsid w:val="00994D80"/>
    <w:rsid w:val="009A4582"/>
    <w:rsid w:val="009A6419"/>
    <w:rsid w:val="009B5906"/>
    <w:rsid w:val="009B75FF"/>
    <w:rsid w:val="009B7F08"/>
    <w:rsid w:val="009C31BF"/>
    <w:rsid w:val="009D31A7"/>
    <w:rsid w:val="009D6E07"/>
    <w:rsid w:val="009E113B"/>
    <w:rsid w:val="009E689B"/>
    <w:rsid w:val="009E68C8"/>
    <w:rsid w:val="009E6F3D"/>
    <w:rsid w:val="009F4560"/>
    <w:rsid w:val="00A01829"/>
    <w:rsid w:val="00A0222E"/>
    <w:rsid w:val="00A036B1"/>
    <w:rsid w:val="00A04C23"/>
    <w:rsid w:val="00A06AAF"/>
    <w:rsid w:val="00A12261"/>
    <w:rsid w:val="00A24943"/>
    <w:rsid w:val="00A3569A"/>
    <w:rsid w:val="00A45275"/>
    <w:rsid w:val="00A456C6"/>
    <w:rsid w:val="00A544C5"/>
    <w:rsid w:val="00A56228"/>
    <w:rsid w:val="00A57711"/>
    <w:rsid w:val="00A60158"/>
    <w:rsid w:val="00A62DAF"/>
    <w:rsid w:val="00A747BE"/>
    <w:rsid w:val="00A76987"/>
    <w:rsid w:val="00A818E7"/>
    <w:rsid w:val="00A81EC8"/>
    <w:rsid w:val="00A87FCA"/>
    <w:rsid w:val="00A92201"/>
    <w:rsid w:val="00A93B4B"/>
    <w:rsid w:val="00A93F8A"/>
    <w:rsid w:val="00A9708C"/>
    <w:rsid w:val="00AA0394"/>
    <w:rsid w:val="00AA1FA6"/>
    <w:rsid w:val="00AB4EDD"/>
    <w:rsid w:val="00AC0AED"/>
    <w:rsid w:val="00AC276B"/>
    <w:rsid w:val="00AD19AF"/>
    <w:rsid w:val="00AD28C9"/>
    <w:rsid w:val="00AE3A28"/>
    <w:rsid w:val="00AE4F5E"/>
    <w:rsid w:val="00AE7F06"/>
    <w:rsid w:val="00AF2E2E"/>
    <w:rsid w:val="00B07266"/>
    <w:rsid w:val="00B07AE6"/>
    <w:rsid w:val="00B1256A"/>
    <w:rsid w:val="00B17939"/>
    <w:rsid w:val="00B17F1D"/>
    <w:rsid w:val="00B208BE"/>
    <w:rsid w:val="00B22A73"/>
    <w:rsid w:val="00B23F1B"/>
    <w:rsid w:val="00B252C4"/>
    <w:rsid w:val="00B310C4"/>
    <w:rsid w:val="00B36D09"/>
    <w:rsid w:val="00B374BB"/>
    <w:rsid w:val="00B50274"/>
    <w:rsid w:val="00B50820"/>
    <w:rsid w:val="00B52FBD"/>
    <w:rsid w:val="00B54680"/>
    <w:rsid w:val="00B72ED7"/>
    <w:rsid w:val="00B7792E"/>
    <w:rsid w:val="00B80D29"/>
    <w:rsid w:val="00B939E0"/>
    <w:rsid w:val="00B95257"/>
    <w:rsid w:val="00B97110"/>
    <w:rsid w:val="00BA3D39"/>
    <w:rsid w:val="00BB0639"/>
    <w:rsid w:val="00BB3FA7"/>
    <w:rsid w:val="00BB45D8"/>
    <w:rsid w:val="00BB56DE"/>
    <w:rsid w:val="00BB63E7"/>
    <w:rsid w:val="00BC2536"/>
    <w:rsid w:val="00BD0C0E"/>
    <w:rsid w:val="00BD5C2A"/>
    <w:rsid w:val="00BE69E6"/>
    <w:rsid w:val="00BF3450"/>
    <w:rsid w:val="00C02A51"/>
    <w:rsid w:val="00C13B8D"/>
    <w:rsid w:val="00C16223"/>
    <w:rsid w:val="00C24B52"/>
    <w:rsid w:val="00C255D8"/>
    <w:rsid w:val="00C26A49"/>
    <w:rsid w:val="00C26F56"/>
    <w:rsid w:val="00C310CA"/>
    <w:rsid w:val="00C31D07"/>
    <w:rsid w:val="00C334BD"/>
    <w:rsid w:val="00C4473A"/>
    <w:rsid w:val="00C45D02"/>
    <w:rsid w:val="00C60860"/>
    <w:rsid w:val="00C62521"/>
    <w:rsid w:val="00C63254"/>
    <w:rsid w:val="00C64E0E"/>
    <w:rsid w:val="00C64EC5"/>
    <w:rsid w:val="00C7171B"/>
    <w:rsid w:val="00C71D8F"/>
    <w:rsid w:val="00C7246E"/>
    <w:rsid w:val="00C74ABB"/>
    <w:rsid w:val="00C75A39"/>
    <w:rsid w:val="00C762CC"/>
    <w:rsid w:val="00C7709D"/>
    <w:rsid w:val="00C77475"/>
    <w:rsid w:val="00C86B6B"/>
    <w:rsid w:val="00C874D5"/>
    <w:rsid w:val="00C902EB"/>
    <w:rsid w:val="00C9293D"/>
    <w:rsid w:val="00CA0EE7"/>
    <w:rsid w:val="00CA10C1"/>
    <w:rsid w:val="00CA3C25"/>
    <w:rsid w:val="00CA4834"/>
    <w:rsid w:val="00CA55D0"/>
    <w:rsid w:val="00CB0D5A"/>
    <w:rsid w:val="00CB419F"/>
    <w:rsid w:val="00CC2554"/>
    <w:rsid w:val="00CC404F"/>
    <w:rsid w:val="00CC47D8"/>
    <w:rsid w:val="00CC73C2"/>
    <w:rsid w:val="00CC7614"/>
    <w:rsid w:val="00CC798E"/>
    <w:rsid w:val="00CD426F"/>
    <w:rsid w:val="00CE48C1"/>
    <w:rsid w:val="00CE4F6D"/>
    <w:rsid w:val="00CE5FAF"/>
    <w:rsid w:val="00CF7D09"/>
    <w:rsid w:val="00D01849"/>
    <w:rsid w:val="00D04EF6"/>
    <w:rsid w:val="00D0683F"/>
    <w:rsid w:val="00D06BF3"/>
    <w:rsid w:val="00D101EA"/>
    <w:rsid w:val="00D140CA"/>
    <w:rsid w:val="00D175DF"/>
    <w:rsid w:val="00D402B7"/>
    <w:rsid w:val="00D4108F"/>
    <w:rsid w:val="00D42A15"/>
    <w:rsid w:val="00D42B99"/>
    <w:rsid w:val="00D55926"/>
    <w:rsid w:val="00D56654"/>
    <w:rsid w:val="00D56DC3"/>
    <w:rsid w:val="00D654B6"/>
    <w:rsid w:val="00D67342"/>
    <w:rsid w:val="00D71586"/>
    <w:rsid w:val="00D80FFB"/>
    <w:rsid w:val="00D813AF"/>
    <w:rsid w:val="00D85EE8"/>
    <w:rsid w:val="00D9139A"/>
    <w:rsid w:val="00D96DE0"/>
    <w:rsid w:val="00DB6773"/>
    <w:rsid w:val="00DC0CF8"/>
    <w:rsid w:val="00DC5377"/>
    <w:rsid w:val="00DC6357"/>
    <w:rsid w:val="00DD03AE"/>
    <w:rsid w:val="00DD0573"/>
    <w:rsid w:val="00DD3AB8"/>
    <w:rsid w:val="00DD4F0B"/>
    <w:rsid w:val="00DD7A08"/>
    <w:rsid w:val="00DE2B27"/>
    <w:rsid w:val="00DE6AF4"/>
    <w:rsid w:val="00DF3188"/>
    <w:rsid w:val="00DF5C21"/>
    <w:rsid w:val="00DF5C80"/>
    <w:rsid w:val="00DF621D"/>
    <w:rsid w:val="00E0320B"/>
    <w:rsid w:val="00E03EB7"/>
    <w:rsid w:val="00E10778"/>
    <w:rsid w:val="00E1716C"/>
    <w:rsid w:val="00E208E5"/>
    <w:rsid w:val="00E300EC"/>
    <w:rsid w:val="00E31ACB"/>
    <w:rsid w:val="00E36A14"/>
    <w:rsid w:val="00E37F64"/>
    <w:rsid w:val="00E4452E"/>
    <w:rsid w:val="00E4470A"/>
    <w:rsid w:val="00E531F1"/>
    <w:rsid w:val="00E5600C"/>
    <w:rsid w:val="00E567D7"/>
    <w:rsid w:val="00E56826"/>
    <w:rsid w:val="00E61DD0"/>
    <w:rsid w:val="00E66EC1"/>
    <w:rsid w:val="00E70AD7"/>
    <w:rsid w:val="00E77366"/>
    <w:rsid w:val="00E84E07"/>
    <w:rsid w:val="00E85FA1"/>
    <w:rsid w:val="00E93981"/>
    <w:rsid w:val="00E94D96"/>
    <w:rsid w:val="00E97734"/>
    <w:rsid w:val="00EA20FA"/>
    <w:rsid w:val="00EA28A3"/>
    <w:rsid w:val="00EA49F5"/>
    <w:rsid w:val="00EA5B2A"/>
    <w:rsid w:val="00EA6909"/>
    <w:rsid w:val="00EA6E86"/>
    <w:rsid w:val="00EB11ED"/>
    <w:rsid w:val="00EB251D"/>
    <w:rsid w:val="00EB33AA"/>
    <w:rsid w:val="00EC0A2A"/>
    <w:rsid w:val="00EC0AE3"/>
    <w:rsid w:val="00EC2F4E"/>
    <w:rsid w:val="00EF1E48"/>
    <w:rsid w:val="00EF3517"/>
    <w:rsid w:val="00F00B39"/>
    <w:rsid w:val="00F013D8"/>
    <w:rsid w:val="00F11B2C"/>
    <w:rsid w:val="00F2250F"/>
    <w:rsid w:val="00F264E0"/>
    <w:rsid w:val="00F33303"/>
    <w:rsid w:val="00F352D4"/>
    <w:rsid w:val="00F364C5"/>
    <w:rsid w:val="00F428A8"/>
    <w:rsid w:val="00F43CFC"/>
    <w:rsid w:val="00F46903"/>
    <w:rsid w:val="00F63C31"/>
    <w:rsid w:val="00F73B52"/>
    <w:rsid w:val="00F761EA"/>
    <w:rsid w:val="00F81482"/>
    <w:rsid w:val="00F81740"/>
    <w:rsid w:val="00F85FB2"/>
    <w:rsid w:val="00F86624"/>
    <w:rsid w:val="00FA1BA4"/>
    <w:rsid w:val="00FA4507"/>
    <w:rsid w:val="00FA4BFB"/>
    <w:rsid w:val="00FA5234"/>
    <w:rsid w:val="00FA6594"/>
    <w:rsid w:val="00FA6BB3"/>
    <w:rsid w:val="00FA7EB2"/>
    <w:rsid w:val="00FB3DED"/>
    <w:rsid w:val="00FB5BB0"/>
    <w:rsid w:val="00FC0A55"/>
    <w:rsid w:val="00FC5A2D"/>
    <w:rsid w:val="00FD1486"/>
    <w:rsid w:val="00FE0C06"/>
    <w:rsid w:val="00FE7731"/>
    <w:rsid w:val="00FE7BC6"/>
    <w:rsid w:val="00FF6BB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74C22DF8-344A-4009-A811-BC1DB9E00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201F41"/>
    <w:pPr>
      <w:keepNext/>
      <w:keepLines/>
      <w:spacing w:before="240" w:after="0"/>
      <w:outlineLvl w:val="0"/>
    </w:pPr>
    <w:rPr>
      <w:rFonts w:ascii="Palatino Linotype" w:eastAsiaTheme="majorEastAsia" w:hAnsi="Palatino Linotype" w:cstheme="majorBidi"/>
      <w:sz w:val="24"/>
      <w:szCs w:val="32"/>
    </w:rPr>
  </w:style>
  <w:style w:type="paragraph" w:styleId="Ttulo2">
    <w:name w:val="heading 2"/>
    <w:basedOn w:val="Normal"/>
    <w:next w:val="Normal"/>
    <w:link w:val="Ttulo2Car"/>
    <w:uiPriority w:val="9"/>
    <w:unhideWhenUsed/>
    <w:qFormat/>
    <w:rsid w:val="00455D9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1622A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9277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92776"/>
  </w:style>
  <w:style w:type="paragraph" w:styleId="Piedepgina">
    <w:name w:val="footer"/>
    <w:basedOn w:val="Normal"/>
    <w:link w:val="PiedepginaCar"/>
    <w:uiPriority w:val="99"/>
    <w:unhideWhenUsed/>
    <w:rsid w:val="0079277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92776"/>
  </w:style>
  <w:style w:type="table" w:styleId="Tablaconcuadrcula">
    <w:name w:val="Table Grid"/>
    <w:basedOn w:val="Tablanormal"/>
    <w:uiPriority w:val="39"/>
    <w:rsid w:val="00792776"/>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792776"/>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792776"/>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92776"/>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92776"/>
    <w:rPr>
      <w:sz w:val="20"/>
      <w:szCs w:val="20"/>
    </w:rPr>
  </w:style>
  <w:style w:type="table" w:styleId="Tablanormal1">
    <w:name w:val="Plain Table 1"/>
    <w:basedOn w:val="Tablanormal"/>
    <w:uiPriority w:val="41"/>
    <w:rsid w:val="00792776"/>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5D3C6B"/>
    <w:pPr>
      <w:ind w:left="720"/>
      <w:contextualSpacing/>
    </w:pPr>
  </w:style>
  <w:style w:type="paragraph" w:customStyle="1" w:styleId="Default">
    <w:name w:val="Default"/>
    <w:rsid w:val="008C18E6"/>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E6787"/>
  </w:style>
  <w:style w:type="paragraph" w:styleId="Textodeglobo">
    <w:name w:val="Balloon Text"/>
    <w:basedOn w:val="Normal"/>
    <w:link w:val="TextodegloboCar"/>
    <w:uiPriority w:val="99"/>
    <w:semiHidden/>
    <w:unhideWhenUsed/>
    <w:rsid w:val="00FF6B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F6BB9"/>
    <w:rPr>
      <w:rFonts w:ascii="Segoe UI" w:hAnsi="Segoe UI" w:cs="Segoe UI"/>
      <w:sz w:val="18"/>
      <w:szCs w:val="18"/>
    </w:rPr>
  </w:style>
  <w:style w:type="paragraph" w:styleId="TDC1">
    <w:name w:val="toc 1"/>
    <w:basedOn w:val="Normal"/>
    <w:next w:val="Normal"/>
    <w:autoRedefine/>
    <w:uiPriority w:val="39"/>
    <w:unhideWhenUsed/>
    <w:rsid w:val="0050327B"/>
    <w:pPr>
      <w:tabs>
        <w:tab w:val="right" w:leader="dot" w:pos="8779"/>
      </w:tabs>
      <w:spacing w:after="100" w:line="360" w:lineRule="auto"/>
    </w:pPr>
  </w:style>
  <w:style w:type="paragraph" w:styleId="TDC2">
    <w:name w:val="toc 2"/>
    <w:basedOn w:val="Normal"/>
    <w:next w:val="Normal"/>
    <w:autoRedefine/>
    <w:uiPriority w:val="39"/>
    <w:unhideWhenUsed/>
    <w:rsid w:val="00883B38"/>
    <w:pPr>
      <w:spacing w:after="100"/>
      <w:ind w:left="220"/>
    </w:pPr>
  </w:style>
  <w:style w:type="character" w:styleId="Hipervnculo">
    <w:name w:val="Hyperlink"/>
    <w:basedOn w:val="Fuentedeprrafopredeter"/>
    <w:uiPriority w:val="99"/>
    <w:unhideWhenUsed/>
    <w:rsid w:val="00883B38"/>
    <w:rPr>
      <w:color w:val="0563C1" w:themeColor="hyperlink"/>
      <w:u w:val="single"/>
    </w:rPr>
  </w:style>
  <w:style w:type="paragraph" w:styleId="Sinespaciado">
    <w:name w:val="No Spacing"/>
    <w:aliases w:val="Francesa"/>
    <w:link w:val="SinespaciadoCar"/>
    <w:uiPriority w:val="1"/>
    <w:qFormat/>
    <w:rsid w:val="003D4338"/>
    <w:pPr>
      <w:spacing w:after="0" w:line="240" w:lineRule="auto"/>
    </w:pPr>
  </w:style>
  <w:style w:type="character" w:styleId="Textoennegrita">
    <w:name w:val="Strong"/>
    <w:uiPriority w:val="22"/>
    <w:qFormat/>
    <w:rsid w:val="009D6E07"/>
    <w:rPr>
      <w:b/>
      <w:bCs/>
    </w:rPr>
  </w:style>
  <w:style w:type="character" w:customStyle="1" w:styleId="SinespaciadoCar">
    <w:name w:val="Sin espaciado Car"/>
    <w:aliases w:val="Francesa Car"/>
    <w:link w:val="Sinespaciado"/>
    <w:uiPriority w:val="1"/>
    <w:locked/>
    <w:rsid w:val="009D6E07"/>
  </w:style>
  <w:style w:type="paragraph" w:styleId="NormalWeb">
    <w:name w:val="Normal (Web)"/>
    <w:basedOn w:val="Normal"/>
    <w:uiPriority w:val="99"/>
    <w:unhideWhenUsed/>
    <w:rsid w:val="00510198"/>
    <w:pPr>
      <w:spacing w:before="100" w:beforeAutospacing="1" w:after="100" w:afterAutospacing="1" w:line="360" w:lineRule="auto"/>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201F41"/>
    <w:rPr>
      <w:rFonts w:ascii="Palatino Linotype" w:eastAsiaTheme="majorEastAsia" w:hAnsi="Palatino Linotype" w:cstheme="majorBidi"/>
      <w:sz w:val="24"/>
      <w:szCs w:val="32"/>
    </w:rPr>
  </w:style>
  <w:style w:type="character" w:customStyle="1" w:styleId="Ttulo2Car">
    <w:name w:val="Título 2 Car"/>
    <w:basedOn w:val="Fuentedeprrafopredeter"/>
    <w:link w:val="Ttulo2"/>
    <w:uiPriority w:val="9"/>
    <w:rsid w:val="00455D99"/>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1622A0"/>
    <w:rPr>
      <w:rFonts w:asciiTheme="majorHAnsi" w:eastAsiaTheme="majorEastAsia" w:hAnsiTheme="majorHAnsi" w:cstheme="majorBidi"/>
      <w:color w:val="1F4D78" w:themeColor="accent1" w:themeShade="7F"/>
      <w:sz w:val="24"/>
      <w:szCs w:val="24"/>
    </w:rPr>
  </w:style>
  <w:style w:type="character" w:styleId="nfasis">
    <w:name w:val="Emphasis"/>
    <w:basedOn w:val="Fuentedeprrafopredeter"/>
    <w:uiPriority w:val="20"/>
    <w:qFormat/>
    <w:rsid w:val="00024C36"/>
    <w:rPr>
      <w:i/>
      <w:iCs/>
    </w:rPr>
  </w:style>
  <w:style w:type="character" w:styleId="Hipervnculovisitado">
    <w:name w:val="FollowedHyperlink"/>
    <w:basedOn w:val="Fuentedeprrafopredeter"/>
    <w:uiPriority w:val="99"/>
    <w:semiHidden/>
    <w:unhideWhenUsed/>
    <w:rsid w:val="00334C17"/>
    <w:rPr>
      <w:color w:val="954F72" w:themeColor="followedHyperlink"/>
      <w:u w:val="single"/>
    </w:rPr>
  </w:style>
  <w:style w:type="character" w:styleId="nfasissutil">
    <w:name w:val="Subtle Emphasis"/>
    <w:basedOn w:val="Fuentedeprrafopredeter"/>
    <w:uiPriority w:val="19"/>
    <w:qFormat/>
    <w:rsid w:val="007010FC"/>
    <w:rPr>
      <w:i/>
      <w:iCs/>
      <w:color w:val="404040" w:themeColor="text1" w:themeTint="BF"/>
    </w:rPr>
  </w:style>
  <w:style w:type="table" w:customStyle="1" w:styleId="Tablaconcuadrcula1">
    <w:name w:val="Tabla con cuadrícula1"/>
    <w:basedOn w:val="Tablanormal"/>
    <w:next w:val="Tablaconcuadrcula"/>
    <w:uiPriority w:val="59"/>
    <w:rsid w:val="00914E9A"/>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538799">
      <w:bodyDiv w:val="1"/>
      <w:marLeft w:val="0"/>
      <w:marRight w:val="0"/>
      <w:marTop w:val="0"/>
      <w:marBottom w:val="0"/>
      <w:divBdr>
        <w:top w:val="none" w:sz="0" w:space="0" w:color="auto"/>
        <w:left w:val="none" w:sz="0" w:space="0" w:color="auto"/>
        <w:bottom w:val="none" w:sz="0" w:space="0" w:color="auto"/>
        <w:right w:val="none" w:sz="0" w:space="0" w:color="auto"/>
      </w:divBdr>
    </w:div>
    <w:div w:id="470562021">
      <w:bodyDiv w:val="1"/>
      <w:marLeft w:val="0"/>
      <w:marRight w:val="0"/>
      <w:marTop w:val="0"/>
      <w:marBottom w:val="0"/>
      <w:divBdr>
        <w:top w:val="none" w:sz="0" w:space="0" w:color="auto"/>
        <w:left w:val="none" w:sz="0" w:space="0" w:color="auto"/>
        <w:bottom w:val="none" w:sz="0" w:space="0" w:color="auto"/>
        <w:right w:val="none" w:sz="0" w:space="0" w:color="auto"/>
      </w:divBdr>
    </w:div>
    <w:div w:id="674646341">
      <w:bodyDiv w:val="1"/>
      <w:marLeft w:val="0"/>
      <w:marRight w:val="0"/>
      <w:marTop w:val="0"/>
      <w:marBottom w:val="0"/>
      <w:divBdr>
        <w:top w:val="none" w:sz="0" w:space="0" w:color="auto"/>
        <w:left w:val="none" w:sz="0" w:space="0" w:color="auto"/>
        <w:bottom w:val="none" w:sz="0" w:space="0" w:color="auto"/>
        <w:right w:val="none" w:sz="0" w:space="0" w:color="auto"/>
      </w:divBdr>
    </w:div>
    <w:div w:id="696924981">
      <w:bodyDiv w:val="1"/>
      <w:marLeft w:val="0"/>
      <w:marRight w:val="0"/>
      <w:marTop w:val="0"/>
      <w:marBottom w:val="0"/>
      <w:divBdr>
        <w:top w:val="none" w:sz="0" w:space="0" w:color="auto"/>
        <w:left w:val="none" w:sz="0" w:space="0" w:color="auto"/>
        <w:bottom w:val="none" w:sz="0" w:space="0" w:color="auto"/>
        <w:right w:val="none" w:sz="0" w:space="0" w:color="auto"/>
      </w:divBdr>
    </w:div>
    <w:div w:id="820275653">
      <w:bodyDiv w:val="1"/>
      <w:marLeft w:val="0"/>
      <w:marRight w:val="0"/>
      <w:marTop w:val="0"/>
      <w:marBottom w:val="0"/>
      <w:divBdr>
        <w:top w:val="none" w:sz="0" w:space="0" w:color="auto"/>
        <w:left w:val="none" w:sz="0" w:space="0" w:color="auto"/>
        <w:bottom w:val="none" w:sz="0" w:space="0" w:color="auto"/>
        <w:right w:val="none" w:sz="0" w:space="0" w:color="auto"/>
      </w:divBdr>
    </w:div>
    <w:div w:id="1111314338">
      <w:bodyDiv w:val="1"/>
      <w:marLeft w:val="0"/>
      <w:marRight w:val="0"/>
      <w:marTop w:val="0"/>
      <w:marBottom w:val="0"/>
      <w:divBdr>
        <w:top w:val="none" w:sz="0" w:space="0" w:color="auto"/>
        <w:left w:val="none" w:sz="0" w:space="0" w:color="auto"/>
        <w:bottom w:val="none" w:sz="0" w:space="0" w:color="auto"/>
        <w:right w:val="none" w:sz="0" w:space="0" w:color="auto"/>
      </w:divBdr>
    </w:div>
    <w:div w:id="1188592906">
      <w:bodyDiv w:val="1"/>
      <w:marLeft w:val="0"/>
      <w:marRight w:val="0"/>
      <w:marTop w:val="0"/>
      <w:marBottom w:val="0"/>
      <w:divBdr>
        <w:top w:val="none" w:sz="0" w:space="0" w:color="auto"/>
        <w:left w:val="none" w:sz="0" w:space="0" w:color="auto"/>
        <w:bottom w:val="none" w:sz="0" w:space="0" w:color="auto"/>
        <w:right w:val="none" w:sz="0" w:space="0" w:color="auto"/>
      </w:divBdr>
    </w:div>
    <w:div w:id="1204756258">
      <w:bodyDiv w:val="1"/>
      <w:marLeft w:val="0"/>
      <w:marRight w:val="0"/>
      <w:marTop w:val="0"/>
      <w:marBottom w:val="0"/>
      <w:divBdr>
        <w:top w:val="none" w:sz="0" w:space="0" w:color="auto"/>
        <w:left w:val="none" w:sz="0" w:space="0" w:color="auto"/>
        <w:bottom w:val="none" w:sz="0" w:space="0" w:color="auto"/>
        <w:right w:val="none" w:sz="0" w:space="0" w:color="auto"/>
      </w:divBdr>
    </w:div>
    <w:div w:id="1333800041">
      <w:bodyDiv w:val="1"/>
      <w:marLeft w:val="0"/>
      <w:marRight w:val="0"/>
      <w:marTop w:val="0"/>
      <w:marBottom w:val="0"/>
      <w:divBdr>
        <w:top w:val="none" w:sz="0" w:space="0" w:color="auto"/>
        <w:left w:val="none" w:sz="0" w:space="0" w:color="auto"/>
        <w:bottom w:val="none" w:sz="0" w:space="0" w:color="auto"/>
        <w:right w:val="none" w:sz="0" w:space="0" w:color="auto"/>
      </w:divBdr>
    </w:div>
    <w:div w:id="1350718723">
      <w:bodyDiv w:val="1"/>
      <w:marLeft w:val="0"/>
      <w:marRight w:val="0"/>
      <w:marTop w:val="0"/>
      <w:marBottom w:val="0"/>
      <w:divBdr>
        <w:top w:val="none" w:sz="0" w:space="0" w:color="auto"/>
        <w:left w:val="none" w:sz="0" w:space="0" w:color="auto"/>
        <w:bottom w:val="none" w:sz="0" w:space="0" w:color="auto"/>
        <w:right w:val="none" w:sz="0" w:space="0" w:color="auto"/>
      </w:divBdr>
    </w:div>
    <w:div w:id="1363701052">
      <w:bodyDiv w:val="1"/>
      <w:marLeft w:val="0"/>
      <w:marRight w:val="0"/>
      <w:marTop w:val="0"/>
      <w:marBottom w:val="0"/>
      <w:divBdr>
        <w:top w:val="none" w:sz="0" w:space="0" w:color="auto"/>
        <w:left w:val="none" w:sz="0" w:space="0" w:color="auto"/>
        <w:bottom w:val="none" w:sz="0" w:space="0" w:color="auto"/>
        <w:right w:val="none" w:sz="0" w:space="0" w:color="auto"/>
      </w:divBdr>
    </w:div>
    <w:div w:id="1477533572">
      <w:bodyDiv w:val="1"/>
      <w:marLeft w:val="0"/>
      <w:marRight w:val="0"/>
      <w:marTop w:val="0"/>
      <w:marBottom w:val="0"/>
      <w:divBdr>
        <w:top w:val="none" w:sz="0" w:space="0" w:color="auto"/>
        <w:left w:val="none" w:sz="0" w:space="0" w:color="auto"/>
        <w:bottom w:val="none" w:sz="0" w:space="0" w:color="auto"/>
        <w:right w:val="none" w:sz="0" w:space="0" w:color="auto"/>
      </w:divBdr>
    </w:div>
    <w:div w:id="1551919052">
      <w:bodyDiv w:val="1"/>
      <w:marLeft w:val="0"/>
      <w:marRight w:val="0"/>
      <w:marTop w:val="0"/>
      <w:marBottom w:val="0"/>
      <w:divBdr>
        <w:top w:val="none" w:sz="0" w:space="0" w:color="auto"/>
        <w:left w:val="none" w:sz="0" w:space="0" w:color="auto"/>
        <w:bottom w:val="none" w:sz="0" w:space="0" w:color="auto"/>
        <w:right w:val="none" w:sz="0" w:space="0" w:color="auto"/>
      </w:divBdr>
    </w:div>
    <w:div w:id="1568877138">
      <w:bodyDiv w:val="1"/>
      <w:marLeft w:val="0"/>
      <w:marRight w:val="0"/>
      <w:marTop w:val="0"/>
      <w:marBottom w:val="0"/>
      <w:divBdr>
        <w:top w:val="none" w:sz="0" w:space="0" w:color="auto"/>
        <w:left w:val="none" w:sz="0" w:space="0" w:color="auto"/>
        <w:bottom w:val="none" w:sz="0" w:space="0" w:color="auto"/>
        <w:right w:val="none" w:sz="0" w:space="0" w:color="auto"/>
      </w:divBdr>
    </w:div>
    <w:div w:id="2032560317">
      <w:bodyDiv w:val="1"/>
      <w:marLeft w:val="0"/>
      <w:marRight w:val="0"/>
      <w:marTop w:val="0"/>
      <w:marBottom w:val="0"/>
      <w:divBdr>
        <w:top w:val="none" w:sz="0" w:space="0" w:color="auto"/>
        <w:left w:val="none" w:sz="0" w:space="0" w:color="auto"/>
        <w:bottom w:val="none" w:sz="0" w:space="0" w:color="auto"/>
        <w:right w:val="none" w:sz="0" w:space="0" w:color="auto"/>
      </w:divBdr>
    </w:div>
    <w:div w:id="2058427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541045.page" TargetMode="External"/><Relationship Id="rId13" Type="http://schemas.openxmlformats.org/officeDocument/2006/relationships/hyperlink" Target="https://www.saimex.org.mx/saimex/solicitud/downloadAttach/541046.page"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541045.page" TargetMode="External"/><Relationship Id="rId5" Type="http://schemas.openxmlformats.org/officeDocument/2006/relationships/webSettings" Target="webSettings.xml"/><Relationship Id="rId15" Type="http://schemas.openxmlformats.org/officeDocument/2006/relationships/hyperlink" Target="https://www.saimex.org.mx/saimex/solicitud/downloadAttach/541409.page" TargetMode="External"/><Relationship Id="rId10" Type="http://schemas.openxmlformats.org/officeDocument/2006/relationships/hyperlink" Target="https://www.saimex.org.mx/saimex/solicitud/downloadAttach/541409.page"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saimex.org.mx/saimex/solicitud/downloadAttach/541046.page" TargetMode="Externa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80E171-427E-4252-BCF5-EBE9F35DD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46</Pages>
  <Words>9969</Words>
  <Characters>54835</Characters>
  <Application>Microsoft Office Word</Application>
  <DocSecurity>0</DocSecurity>
  <Lines>456</Lines>
  <Paragraphs>129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10</cp:revision>
  <cp:lastPrinted>2018-08-10T18:44:00Z</cp:lastPrinted>
  <dcterms:created xsi:type="dcterms:W3CDTF">2018-07-31T23:56:00Z</dcterms:created>
  <dcterms:modified xsi:type="dcterms:W3CDTF">2018-08-23T22:27:00Z</dcterms:modified>
</cp:coreProperties>
</file>